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9D3221" w14:textId="77777777" w:rsidR="006F6CE3" w:rsidRDefault="006F6CE3">
      <w:pPr>
        <w:widowControl w:val="0"/>
        <w:pBdr>
          <w:top w:val="nil"/>
          <w:left w:val="nil"/>
          <w:bottom w:val="nil"/>
          <w:right w:val="nil"/>
          <w:between w:val="nil"/>
        </w:pBdr>
        <w:spacing w:after="0"/>
        <w:rPr>
          <w:rFonts w:ascii="Arial" w:eastAsia="Arial" w:hAnsi="Arial" w:cs="Arial"/>
          <w:color w:val="000000"/>
        </w:rPr>
      </w:pPr>
    </w:p>
    <w:tbl>
      <w:tblPr>
        <w:tblStyle w:val="a"/>
        <w:tblW w:w="3972" w:type="dxa"/>
        <w:tblInd w:w="0" w:type="dxa"/>
        <w:tblLayout w:type="fixed"/>
        <w:tblLook w:val="0400" w:firstRow="0" w:lastRow="0" w:firstColumn="0" w:lastColumn="0" w:noHBand="0" w:noVBand="1"/>
      </w:tblPr>
      <w:tblGrid>
        <w:gridCol w:w="1444"/>
        <w:gridCol w:w="2528"/>
      </w:tblGrid>
      <w:tr w:rsidR="006F6CE3" w14:paraId="3ED4374A" w14:textId="77777777">
        <w:trPr>
          <w:trHeight w:val="1280"/>
        </w:trPr>
        <w:tc>
          <w:tcPr>
            <w:tcW w:w="1444" w:type="dxa"/>
            <w:tcBorders>
              <w:right w:val="single" w:sz="4" w:space="0" w:color="FFFFFF"/>
            </w:tcBorders>
            <w:shd w:val="clear" w:color="auto" w:fill="2D575D"/>
          </w:tcPr>
          <w:p w14:paraId="0C98E619" w14:textId="77777777" w:rsidR="006F6CE3" w:rsidRDefault="006F6CE3"/>
        </w:tc>
        <w:tc>
          <w:tcPr>
            <w:tcW w:w="2528" w:type="dxa"/>
            <w:tcBorders>
              <w:left w:val="single" w:sz="4" w:space="0" w:color="FFFFFF"/>
            </w:tcBorders>
            <w:shd w:val="clear" w:color="auto" w:fill="2D575D"/>
            <w:vAlign w:val="bottom"/>
          </w:tcPr>
          <w:p w14:paraId="60BFF2D8" w14:textId="77777777" w:rsidR="006F6CE3" w:rsidRDefault="00017497">
            <w:pPr>
              <w:pBdr>
                <w:top w:val="nil"/>
                <w:left w:val="nil"/>
                <w:bottom w:val="nil"/>
                <w:right w:val="nil"/>
                <w:between w:val="nil"/>
              </w:pBdr>
              <w:spacing w:after="0" w:line="240" w:lineRule="auto"/>
              <w:rPr>
                <w:b/>
                <w:color w:val="FFFFFF"/>
                <w:sz w:val="72"/>
                <w:szCs w:val="72"/>
              </w:rPr>
            </w:pPr>
            <w:r>
              <w:rPr>
                <w:b/>
                <w:color w:val="FFFFFF"/>
                <w:sz w:val="72"/>
                <w:szCs w:val="72"/>
              </w:rPr>
              <w:t>20</w:t>
            </w:r>
            <w:r>
              <w:rPr>
                <w:b/>
                <w:color w:val="FFFFFF"/>
                <w:sz w:val="72"/>
                <w:szCs w:val="72"/>
              </w:rPr>
              <w:t>21</w:t>
            </w:r>
          </w:p>
        </w:tc>
      </w:tr>
      <w:tr w:rsidR="006F6CE3" w14:paraId="13740D6A" w14:textId="77777777">
        <w:trPr>
          <w:trHeight w:val="2559"/>
        </w:trPr>
        <w:tc>
          <w:tcPr>
            <w:tcW w:w="1444" w:type="dxa"/>
            <w:tcBorders>
              <w:right w:val="single" w:sz="4" w:space="0" w:color="000000"/>
            </w:tcBorders>
          </w:tcPr>
          <w:p w14:paraId="6E59DE28" w14:textId="77777777" w:rsidR="006F6CE3" w:rsidRDefault="006F6CE3"/>
        </w:tc>
        <w:tc>
          <w:tcPr>
            <w:tcW w:w="2528" w:type="dxa"/>
            <w:tcBorders>
              <w:left w:val="single" w:sz="4" w:space="0" w:color="000000"/>
            </w:tcBorders>
            <w:vAlign w:val="center"/>
          </w:tcPr>
          <w:p w14:paraId="08ACA14A" w14:textId="77777777" w:rsidR="006F6CE3" w:rsidRDefault="006F6CE3">
            <w:pPr>
              <w:pBdr>
                <w:top w:val="nil"/>
                <w:left w:val="nil"/>
                <w:bottom w:val="nil"/>
                <w:right w:val="nil"/>
                <w:between w:val="nil"/>
              </w:pBdr>
              <w:spacing w:after="0" w:line="240" w:lineRule="auto"/>
              <w:rPr>
                <w:color w:val="76923C"/>
              </w:rPr>
            </w:pPr>
          </w:p>
          <w:p w14:paraId="61B457FE" w14:textId="77777777" w:rsidR="006F6CE3" w:rsidRDefault="006F6CE3">
            <w:pPr>
              <w:pBdr>
                <w:top w:val="nil"/>
                <w:left w:val="nil"/>
                <w:bottom w:val="nil"/>
                <w:right w:val="nil"/>
                <w:between w:val="nil"/>
              </w:pBdr>
              <w:spacing w:after="0" w:line="240" w:lineRule="auto"/>
              <w:rPr>
                <w:color w:val="76923C"/>
              </w:rPr>
            </w:pPr>
          </w:p>
          <w:p w14:paraId="5EA08962" w14:textId="77777777" w:rsidR="006F6CE3" w:rsidRDefault="006F6CE3">
            <w:pPr>
              <w:pBdr>
                <w:top w:val="nil"/>
                <w:left w:val="nil"/>
                <w:bottom w:val="nil"/>
                <w:right w:val="nil"/>
                <w:between w:val="nil"/>
              </w:pBdr>
              <w:spacing w:after="0" w:line="240" w:lineRule="auto"/>
              <w:rPr>
                <w:color w:val="76923C"/>
              </w:rPr>
            </w:pPr>
          </w:p>
          <w:p w14:paraId="4FC353D6" w14:textId="77777777" w:rsidR="006F6CE3" w:rsidRDefault="006F6CE3">
            <w:pPr>
              <w:pBdr>
                <w:top w:val="nil"/>
                <w:left w:val="nil"/>
                <w:bottom w:val="nil"/>
                <w:right w:val="nil"/>
                <w:between w:val="nil"/>
              </w:pBdr>
              <w:spacing w:after="0" w:line="240" w:lineRule="auto"/>
              <w:rPr>
                <w:color w:val="76923C"/>
              </w:rPr>
            </w:pPr>
          </w:p>
        </w:tc>
      </w:tr>
    </w:tbl>
    <w:p w14:paraId="663358B9" w14:textId="77777777" w:rsidR="006F6CE3" w:rsidRDefault="006F6CE3"/>
    <w:p w14:paraId="5ADF9A68" w14:textId="77777777" w:rsidR="006F6CE3" w:rsidRDefault="006F6CE3"/>
    <w:tbl>
      <w:tblPr>
        <w:tblStyle w:val="a0"/>
        <w:tblW w:w="9360" w:type="dxa"/>
        <w:tblInd w:w="0" w:type="dxa"/>
        <w:tblLayout w:type="fixed"/>
        <w:tblLook w:val="0400" w:firstRow="0" w:lastRow="0" w:firstColumn="0" w:lastColumn="0" w:noHBand="0" w:noVBand="1"/>
      </w:tblPr>
      <w:tblGrid>
        <w:gridCol w:w="9360"/>
      </w:tblGrid>
      <w:tr w:rsidR="006F6CE3" w14:paraId="102C8C68" w14:textId="77777777">
        <w:tc>
          <w:tcPr>
            <w:tcW w:w="9360" w:type="dxa"/>
          </w:tcPr>
          <w:p w14:paraId="4F336285" w14:textId="77777777" w:rsidR="006F6CE3" w:rsidRDefault="00017497">
            <w:pPr>
              <w:pBdr>
                <w:top w:val="nil"/>
                <w:left w:val="nil"/>
                <w:bottom w:val="nil"/>
                <w:right w:val="nil"/>
                <w:between w:val="nil"/>
              </w:pBdr>
              <w:spacing w:after="0" w:line="240" w:lineRule="auto"/>
              <w:jc w:val="right"/>
              <w:rPr>
                <w:b/>
                <w:color w:val="2D575D"/>
                <w:sz w:val="36"/>
                <w:szCs w:val="36"/>
              </w:rPr>
            </w:pPr>
            <w:r>
              <w:rPr>
                <w:b/>
                <w:color w:val="2D575D"/>
                <w:sz w:val="36"/>
                <w:szCs w:val="36"/>
              </w:rPr>
              <w:t>Manual de Políticas</w:t>
            </w:r>
          </w:p>
          <w:p w14:paraId="015760E3" w14:textId="77777777" w:rsidR="006F6CE3" w:rsidRDefault="00017497">
            <w:pPr>
              <w:pBdr>
                <w:top w:val="nil"/>
                <w:left w:val="nil"/>
                <w:bottom w:val="nil"/>
                <w:right w:val="nil"/>
                <w:between w:val="nil"/>
              </w:pBdr>
              <w:spacing w:after="0" w:line="240" w:lineRule="auto"/>
              <w:jc w:val="right"/>
              <w:rPr>
                <w:i/>
                <w:color w:val="2D575D"/>
                <w:sz w:val="36"/>
                <w:szCs w:val="36"/>
              </w:rPr>
            </w:pPr>
            <w:r>
              <w:rPr>
                <w:b/>
                <w:smallCaps/>
                <w:color w:val="76923C"/>
                <w:sz w:val="48"/>
                <w:szCs w:val="48"/>
              </w:rPr>
              <w:t>FONDO DE CAMBIO CLIMÁTICO</w:t>
            </w:r>
          </w:p>
        </w:tc>
      </w:tr>
      <w:tr w:rsidR="006F6CE3" w14:paraId="30781E70" w14:textId="77777777">
        <w:tc>
          <w:tcPr>
            <w:tcW w:w="9360" w:type="dxa"/>
          </w:tcPr>
          <w:p w14:paraId="18131E25" w14:textId="77777777" w:rsidR="006F6CE3" w:rsidRDefault="006F6CE3">
            <w:pPr>
              <w:pBdr>
                <w:top w:val="nil"/>
                <w:left w:val="nil"/>
                <w:bottom w:val="nil"/>
                <w:right w:val="nil"/>
                <w:between w:val="nil"/>
              </w:pBdr>
              <w:spacing w:after="0" w:line="240" w:lineRule="auto"/>
              <w:rPr>
                <w:color w:val="808080"/>
              </w:rPr>
            </w:pPr>
          </w:p>
        </w:tc>
      </w:tr>
    </w:tbl>
    <w:p w14:paraId="0B34783C" w14:textId="77777777" w:rsidR="006F6CE3" w:rsidRDefault="006F6CE3"/>
    <w:p w14:paraId="76F540D7" w14:textId="77777777" w:rsidR="006F6CE3" w:rsidRDefault="006F6CE3">
      <w:pPr>
        <w:spacing w:after="0" w:line="240" w:lineRule="auto"/>
        <w:jc w:val="center"/>
      </w:pPr>
    </w:p>
    <w:p w14:paraId="39C572A7" w14:textId="77777777" w:rsidR="006F6CE3" w:rsidRDefault="006F6CE3">
      <w:pPr>
        <w:spacing w:after="0" w:line="240" w:lineRule="auto"/>
        <w:jc w:val="center"/>
      </w:pPr>
    </w:p>
    <w:p w14:paraId="66CC3A2C" w14:textId="77777777" w:rsidR="006F6CE3" w:rsidRDefault="006F6CE3">
      <w:pPr>
        <w:spacing w:after="0" w:line="240" w:lineRule="auto"/>
        <w:jc w:val="center"/>
      </w:pPr>
    </w:p>
    <w:p w14:paraId="43E08B17" w14:textId="77777777" w:rsidR="006F6CE3" w:rsidRDefault="006F6CE3">
      <w:pPr>
        <w:spacing w:after="0" w:line="240" w:lineRule="auto"/>
        <w:jc w:val="center"/>
      </w:pPr>
    </w:p>
    <w:p w14:paraId="1844DAC8" w14:textId="77777777" w:rsidR="006F6CE3" w:rsidRDefault="00017497">
      <w:pPr>
        <w:spacing w:after="0" w:line="240" w:lineRule="auto"/>
        <w:jc w:val="center"/>
      </w:pPr>
      <w:r>
        <w:rPr>
          <w:noProof/>
        </w:rPr>
        <w:lastRenderedPageBreak/>
        <w:drawing>
          <wp:inline distT="0" distB="0" distL="0" distR="0" wp14:anchorId="597174DD" wp14:editId="709D1A06">
            <wp:extent cx="4800600" cy="4556760"/>
            <wp:effectExtent l="0" t="0" r="0" b="0"/>
            <wp:docPr id="23" name="image1.png" descr="Description: C:\Users\Monteverde Community\Desktop\MCF Materiales\Graphic Designs\Fondo comunitario By mao\fondo comunitario ESPAÑOL\logo cuadrado letra negra en español.png"/>
            <wp:cNvGraphicFramePr/>
            <a:graphic xmlns:a="http://schemas.openxmlformats.org/drawingml/2006/main">
              <a:graphicData uri="http://schemas.openxmlformats.org/drawingml/2006/picture">
                <pic:pic xmlns:pic="http://schemas.openxmlformats.org/drawingml/2006/picture">
                  <pic:nvPicPr>
                    <pic:cNvPr id="0" name="image1.png" descr="Description: C:\Users\Monteverde Community\Desktop\MCF Materiales\Graphic Designs\Fondo comunitario By mao\fondo comunitario ESPAÑOL\logo cuadrado letra negra en español.png"/>
                    <pic:cNvPicPr preferRelativeResize="0"/>
                  </pic:nvPicPr>
                  <pic:blipFill>
                    <a:blip r:embed="rId8"/>
                    <a:srcRect t="5080"/>
                    <a:stretch>
                      <a:fillRect/>
                    </a:stretch>
                  </pic:blipFill>
                  <pic:spPr>
                    <a:xfrm>
                      <a:off x="0" y="0"/>
                      <a:ext cx="4800600" cy="4556760"/>
                    </a:xfrm>
                    <a:prstGeom prst="rect">
                      <a:avLst/>
                    </a:prstGeom>
                    <a:ln/>
                  </pic:spPr>
                </pic:pic>
              </a:graphicData>
            </a:graphic>
          </wp:inline>
        </w:drawing>
      </w:r>
      <w:r>
        <w:br w:type="page"/>
      </w:r>
    </w:p>
    <w:p w14:paraId="2489F3F0" w14:textId="77777777" w:rsidR="006F6CE3" w:rsidRDefault="00017497">
      <w:pPr>
        <w:shd w:val="clear" w:color="auto" w:fill="D9D9D9"/>
        <w:spacing w:after="0" w:line="240" w:lineRule="auto"/>
        <w:jc w:val="center"/>
        <w:rPr>
          <w:u w:val="single"/>
        </w:rPr>
      </w:pPr>
      <w:r>
        <w:rPr>
          <w:b/>
          <w:u w:val="single"/>
        </w:rPr>
        <w:lastRenderedPageBreak/>
        <w:t>Fondo Comunitario Monteverde</w:t>
      </w:r>
    </w:p>
    <w:p w14:paraId="5B600A63" w14:textId="77777777" w:rsidR="006F6CE3" w:rsidRDefault="006F6CE3">
      <w:pPr>
        <w:spacing w:after="0" w:line="240" w:lineRule="auto"/>
        <w:jc w:val="center"/>
        <w:rPr>
          <w:i/>
          <w:color w:val="1F497D"/>
        </w:rPr>
      </w:pPr>
    </w:p>
    <w:p w14:paraId="0E7B6DC1" w14:textId="77777777" w:rsidR="006F6CE3" w:rsidRDefault="00017497">
      <w:pPr>
        <w:spacing w:after="0" w:line="240" w:lineRule="auto"/>
        <w:jc w:val="center"/>
        <w:rPr>
          <w:i/>
          <w:color w:val="1F497D"/>
        </w:rPr>
      </w:pPr>
      <w:r>
        <w:rPr>
          <w:i/>
          <w:color w:val="1F497D"/>
        </w:rPr>
        <w:t>Somos una asociación filantrópica que construye un Monteverde más sostenible mediante el cultivo de recursos y capacidades locales.</w:t>
      </w:r>
    </w:p>
    <w:p w14:paraId="302E4D45" w14:textId="77777777" w:rsidR="006F6CE3" w:rsidRDefault="006F6CE3">
      <w:pPr>
        <w:spacing w:after="0" w:line="240" w:lineRule="auto"/>
        <w:jc w:val="center"/>
        <w:rPr>
          <w:b/>
          <w:u w:val="single"/>
        </w:rPr>
      </w:pPr>
    </w:p>
    <w:p w14:paraId="7B5726D4" w14:textId="77777777" w:rsidR="006F6CE3" w:rsidRDefault="006F6CE3">
      <w:pPr>
        <w:spacing w:after="0" w:line="240" w:lineRule="auto"/>
        <w:jc w:val="center"/>
        <w:rPr>
          <w:b/>
          <w:u w:val="single"/>
        </w:rPr>
      </w:pPr>
    </w:p>
    <w:p w14:paraId="5979A041" w14:textId="77777777" w:rsidR="006F6CE3" w:rsidRDefault="00017497">
      <w:pPr>
        <w:shd w:val="clear" w:color="auto" w:fill="D9D9D9"/>
        <w:spacing w:after="0" w:line="240" w:lineRule="auto"/>
        <w:jc w:val="center"/>
        <w:rPr>
          <w:b/>
          <w:u w:val="single"/>
        </w:rPr>
      </w:pPr>
      <w:r>
        <w:rPr>
          <w:b/>
          <w:u w:val="single"/>
        </w:rPr>
        <w:t>Fondo de Cambio Climático</w:t>
      </w:r>
    </w:p>
    <w:p w14:paraId="2A05C697" w14:textId="77777777" w:rsidR="006F6CE3" w:rsidRDefault="00017497">
      <w:pPr>
        <w:spacing w:line="240" w:lineRule="auto"/>
        <w:jc w:val="both"/>
        <w:rPr>
          <w:b/>
          <w:i/>
        </w:rPr>
      </w:pPr>
      <w:r>
        <w:rPr>
          <w:b/>
          <w:color w:val="1F497D"/>
        </w:rPr>
        <w:t xml:space="preserve">Introducción. </w:t>
      </w:r>
      <w:r>
        <w:t>Monteverde está siendo afectado por el cambio climático. Los efectos que ya estamos experimentando incluyen:</w:t>
      </w:r>
    </w:p>
    <w:p w14:paraId="3AA054B0" w14:textId="77777777" w:rsidR="006F6CE3" w:rsidRDefault="00017497">
      <w:pPr>
        <w:numPr>
          <w:ilvl w:val="0"/>
          <w:numId w:val="2"/>
        </w:numPr>
        <w:spacing w:after="120" w:line="240" w:lineRule="auto"/>
        <w:jc w:val="both"/>
      </w:pPr>
      <w:r>
        <w:t>La disminución en la producción de agua potable para comunidades y el recurso hídrico para actividades económicas (La producción de agua en la ASAD</w:t>
      </w:r>
      <w:r>
        <w:t>A de Santa Elena ha bajado 30% en los últimos 5 años);</w:t>
      </w:r>
    </w:p>
    <w:p w14:paraId="33DDC8DE" w14:textId="0A0D4275" w:rsidR="006F6CE3" w:rsidRDefault="00017497">
      <w:pPr>
        <w:numPr>
          <w:ilvl w:val="0"/>
          <w:numId w:val="2"/>
        </w:numPr>
        <w:spacing w:after="120" w:line="240" w:lineRule="auto"/>
        <w:jc w:val="both"/>
      </w:pPr>
      <w:r>
        <w:t>La falta de predictibilidad en procesos agrícolas y actividades turísticas (En últimos 40 años, la precipitación total anual se ha aumentado un 38%, mientras la cantidad de días secos se ha aumentado p</w:t>
      </w:r>
      <w:r>
        <w:t>or 300%). Estas nuevas tendencias en la intensidad de temperatura y precipitación traen nuevos retos en cuanto a las plagas (ej.</w:t>
      </w:r>
      <w:r w:rsidR="003A45E0">
        <w:t>, rolla</w:t>
      </w:r>
      <w:r>
        <w:t xml:space="preserve"> de café), la producción de alimentos (ej., procesos de floración y fruición), así como la erosión de suelo causada por </w:t>
      </w:r>
      <w:r>
        <w:t>las lluvias fuertes.</w:t>
      </w:r>
    </w:p>
    <w:p w14:paraId="5E6FB9D3" w14:textId="77777777" w:rsidR="006F6CE3" w:rsidRDefault="00017497">
      <w:pPr>
        <w:numPr>
          <w:ilvl w:val="0"/>
          <w:numId w:val="2"/>
        </w:numPr>
        <w:spacing w:after="120" w:line="240" w:lineRule="auto"/>
        <w:jc w:val="both"/>
      </w:pPr>
      <w:r>
        <w:t>El aumento de desastres naturales como inundaciones y deslizamientos, así como la degradación de infraestructura como caminos y edificios;</w:t>
      </w:r>
    </w:p>
    <w:p w14:paraId="7F38B0EF" w14:textId="77777777" w:rsidR="006F6CE3" w:rsidRDefault="00017497">
      <w:pPr>
        <w:numPr>
          <w:ilvl w:val="0"/>
          <w:numId w:val="2"/>
        </w:numPr>
        <w:spacing w:after="120" w:line="240" w:lineRule="auto"/>
        <w:jc w:val="both"/>
      </w:pPr>
      <w:r>
        <w:t>La disrupción de procesos eco-sistémicos y la alteración de condiciones aptas para especies endé</w:t>
      </w:r>
      <w:r>
        <w:t>micas de la zona (hoy en día se registra la presencia de especies tradicionalmente encontradas en zonas bajas, sugiriendo cambios en las condiciones de hábitat a nivel regional); y</w:t>
      </w:r>
    </w:p>
    <w:p w14:paraId="3CE8C67F" w14:textId="77777777" w:rsidR="006F6CE3" w:rsidRDefault="00017497">
      <w:pPr>
        <w:numPr>
          <w:ilvl w:val="0"/>
          <w:numId w:val="2"/>
        </w:numPr>
        <w:spacing w:after="120" w:line="240" w:lineRule="auto"/>
        <w:jc w:val="both"/>
      </w:pPr>
      <w:r>
        <w:t>Mayores incidencias de enfermedades infecciosas (ej., dengue).</w:t>
      </w:r>
    </w:p>
    <w:p w14:paraId="4913D1C6" w14:textId="77777777" w:rsidR="006F6CE3" w:rsidRDefault="00017497">
      <w:pPr>
        <w:spacing w:after="120" w:line="240" w:lineRule="auto"/>
        <w:jc w:val="both"/>
      </w:pPr>
      <w:r>
        <w:t xml:space="preserve">Las fuentes </w:t>
      </w:r>
      <w:r>
        <w:t>de mayor relevancia para Monteverde de Gases de Efecto Invernadero (GEI); entre otros temas afines se trazaron en los siguientes puntos:</w:t>
      </w:r>
    </w:p>
    <w:p w14:paraId="18637864" w14:textId="77777777" w:rsidR="006F6CE3" w:rsidRDefault="00017497">
      <w:pPr>
        <w:numPr>
          <w:ilvl w:val="0"/>
          <w:numId w:val="3"/>
        </w:numPr>
        <w:spacing w:after="120" w:line="240" w:lineRule="auto"/>
        <w:jc w:val="both"/>
      </w:pPr>
      <w:r>
        <w:rPr>
          <w:b/>
        </w:rPr>
        <w:t>Transporte.</w:t>
      </w:r>
      <w:r>
        <w:t xml:space="preserve"> La fuente más grande de GEI es el sector de transporte, incluyendo los buses públicos, camiones de carga, b</w:t>
      </w:r>
      <w:r>
        <w:t>uses y busetas del sector turístico, y vehículos particulares. Hay que disminuir el transporte que depende de combustibles fósiles.</w:t>
      </w:r>
    </w:p>
    <w:p w14:paraId="3B0E578A" w14:textId="77777777" w:rsidR="006F6CE3" w:rsidRDefault="00017497">
      <w:pPr>
        <w:numPr>
          <w:ilvl w:val="0"/>
          <w:numId w:val="3"/>
        </w:numPr>
        <w:spacing w:after="120" w:line="240" w:lineRule="auto"/>
        <w:jc w:val="both"/>
      </w:pPr>
      <w:r>
        <w:rPr>
          <w:b/>
        </w:rPr>
        <w:t>Energía.</w:t>
      </w:r>
      <w:r>
        <w:t xml:space="preserve"> Hoy en día existen tecnologías eficientes y económicas (ej., biodigestores, panales solares, molinos eólicos, calen</w:t>
      </w:r>
      <w:r>
        <w:t>tadores solares, etc.) que pueden suplir fuentes de energía tradicionales.</w:t>
      </w:r>
    </w:p>
    <w:p w14:paraId="3041205A" w14:textId="77777777" w:rsidR="006F6CE3" w:rsidRDefault="00017497">
      <w:pPr>
        <w:numPr>
          <w:ilvl w:val="0"/>
          <w:numId w:val="3"/>
        </w:numPr>
        <w:spacing w:after="120" w:line="240" w:lineRule="auto"/>
        <w:jc w:val="both"/>
      </w:pPr>
      <w:r>
        <w:rPr>
          <w:b/>
        </w:rPr>
        <w:t>Producción agropecuaria</w:t>
      </w:r>
      <w:r>
        <w:t>: Las aproximadamente 200 lecherías, así como numerosas granjas porcinas y avícolas, producen una concentración de metano. Existen ~30 biodigestores en la zon</w:t>
      </w:r>
      <w:r>
        <w:t xml:space="preserve">a y hay potencial para muchos más. Actualmente la gran mayoría de las fincas usan fertilizantes químicos que emiten óxido nitroso mientras que hay un potencial de mejorar los suelos en manera que fijan carbón en vez de emitir GEI. </w:t>
      </w:r>
    </w:p>
    <w:p w14:paraId="4D82E0A8" w14:textId="5C15E6BF" w:rsidR="006F6CE3" w:rsidRDefault="00017497">
      <w:pPr>
        <w:numPr>
          <w:ilvl w:val="0"/>
          <w:numId w:val="3"/>
        </w:numPr>
        <w:spacing w:after="120" w:line="240" w:lineRule="auto"/>
        <w:jc w:val="both"/>
      </w:pPr>
      <w:r>
        <w:rPr>
          <w:b/>
        </w:rPr>
        <w:t>Uso de Suelo.</w:t>
      </w:r>
      <w:r>
        <w:t xml:space="preserve"> En el Corr</w:t>
      </w:r>
      <w:r>
        <w:t xml:space="preserve">edor Biológico Pájaro Campana, el cual se extiende entre Monteverde y Golfo de Nicoya, hay muchos vacíos en la conectividad de hábitat, particularmente las zonas </w:t>
      </w:r>
      <w:r w:rsidR="003A45E0">
        <w:t>raparías</w:t>
      </w:r>
      <w:r>
        <w:t xml:space="preserve"> y de recarga de nacientes (55% del CBPC no presenta cobertura boscosa). En la zona me</w:t>
      </w:r>
      <w:r>
        <w:t xml:space="preserve">dia y baja del corredor existe una alta incidencia de deforestación (árboles maderables), </w:t>
      </w:r>
      <w:r>
        <w:lastRenderedPageBreak/>
        <w:t>quemas (forestales, pastizales y cañales) y degradación de bosques de manglar. Con el alargamiento de la época seca, el riesgo y frecuencia de incendios también ha au</w:t>
      </w:r>
      <w:r>
        <w:t>mentado. Esperamos incrementar la cobertura de bosque, el uso de sistemas silviculturales y agro-silviculturales y eliminar las quemas.</w:t>
      </w:r>
    </w:p>
    <w:p w14:paraId="30F15D35" w14:textId="77777777" w:rsidR="006F6CE3" w:rsidRDefault="00017497">
      <w:pPr>
        <w:numPr>
          <w:ilvl w:val="0"/>
          <w:numId w:val="3"/>
        </w:numPr>
        <w:spacing w:after="120" w:line="240" w:lineRule="auto"/>
        <w:jc w:val="both"/>
      </w:pPr>
      <w:r>
        <w:rPr>
          <w:b/>
        </w:rPr>
        <w:t xml:space="preserve">Desechos orgánicos y Aguas residuales. </w:t>
      </w:r>
      <w:r>
        <w:t>40% (680.32 toneladas) de todos los desechos sólidos generados al año en Montever</w:t>
      </w:r>
      <w:r>
        <w:t>de son residuos orgánicos. En este momento, el Distrito no cuenta con una estrategia oficial para mejorar la gestión de este material. La mayoría de la región carece de sistemas adecuados para el tratamiento de aguas residuales, especialmente aguas grises.</w:t>
      </w:r>
      <w:r>
        <w:t xml:space="preserve"> También, se ha notado que la población carece de información y conocimiento oportuno sobre iniciativas para tratar o reutilizar los desechos orgánicos, sean animales o vegetales (ej., boñiga de vacas, broza de café, bagazo de caña y cascara de piña). Esto</w:t>
      </w:r>
      <w:r>
        <w:t xml:space="preserve">s desechos actualmente emiten gas </w:t>
      </w:r>
      <w:proofErr w:type="gramStart"/>
      <w:r>
        <w:t>metano</w:t>
      </w:r>
      <w:proofErr w:type="gramEnd"/>
      <w:r>
        <w:t xml:space="preserve"> pero tienen la potencial de retornar carbono al suelo si estuvieran mejor manejados.</w:t>
      </w:r>
    </w:p>
    <w:p w14:paraId="36917B5E" w14:textId="77777777" w:rsidR="006F6CE3" w:rsidRDefault="00017497">
      <w:pPr>
        <w:spacing w:before="120" w:after="120" w:line="240" w:lineRule="auto"/>
        <w:jc w:val="both"/>
      </w:pPr>
      <w:r>
        <w:rPr>
          <w:b/>
          <w:color w:val="1F497D"/>
        </w:rPr>
        <w:t xml:space="preserve">Propósito. </w:t>
      </w:r>
      <w:r>
        <w:t>El fin de este programa es apoyar los grupos de base local con fondos semilla que les permitirán atender los retos exis</w:t>
      </w:r>
      <w:r>
        <w:t>tentes mediante sus propias ideas y métodos. Al apoyar proyectos mediante este fondo, se espera:</w:t>
      </w:r>
    </w:p>
    <w:p w14:paraId="06369912" w14:textId="77777777" w:rsidR="006F6CE3" w:rsidRDefault="00017497">
      <w:pPr>
        <w:numPr>
          <w:ilvl w:val="0"/>
          <w:numId w:val="5"/>
        </w:numPr>
        <w:pBdr>
          <w:top w:val="nil"/>
          <w:left w:val="nil"/>
          <w:bottom w:val="nil"/>
          <w:right w:val="nil"/>
          <w:between w:val="nil"/>
        </w:pBdr>
        <w:spacing w:before="120" w:after="120" w:line="240" w:lineRule="auto"/>
        <w:jc w:val="both"/>
        <w:rPr>
          <w:color w:val="000000"/>
        </w:rPr>
      </w:pPr>
      <w:r>
        <w:rPr>
          <w:color w:val="000000"/>
        </w:rPr>
        <w:t>Tomar responsabilidad para nuestras propias huellas de carbono</w:t>
      </w:r>
    </w:p>
    <w:p w14:paraId="779B0BCC" w14:textId="77777777" w:rsidR="006F6CE3" w:rsidRDefault="00017497">
      <w:pPr>
        <w:numPr>
          <w:ilvl w:val="0"/>
          <w:numId w:val="5"/>
        </w:numPr>
        <w:pBdr>
          <w:top w:val="nil"/>
          <w:left w:val="nil"/>
          <w:bottom w:val="nil"/>
          <w:right w:val="nil"/>
          <w:between w:val="nil"/>
        </w:pBdr>
        <w:spacing w:before="120" w:after="120" w:line="240" w:lineRule="auto"/>
        <w:jc w:val="both"/>
        <w:rPr>
          <w:color w:val="000000"/>
        </w:rPr>
      </w:pPr>
      <w:r>
        <w:rPr>
          <w:color w:val="000000"/>
        </w:rPr>
        <w:t xml:space="preserve">Fomentar resiliencia en múltiples sectores mientras se crea valor agregado (social o económico) </w:t>
      </w:r>
    </w:p>
    <w:p w14:paraId="12207D29" w14:textId="77777777" w:rsidR="006F6CE3" w:rsidRDefault="00017497">
      <w:pPr>
        <w:numPr>
          <w:ilvl w:val="0"/>
          <w:numId w:val="5"/>
        </w:numPr>
        <w:pBdr>
          <w:top w:val="nil"/>
          <w:left w:val="nil"/>
          <w:bottom w:val="nil"/>
          <w:right w:val="nil"/>
          <w:between w:val="nil"/>
        </w:pBdr>
        <w:spacing w:before="120" w:after="120" w:line="240" w:lineRule="auto"/>
        <w:jc w:val="both"/>
        <w:rPr>
          <w:color w:val="000000"/>
        </w:rPr>
      </w:pPr>
      <w:r>
        <w:rPr>
          <w:color w:val="000000"/>
        </w:rPr>
        <w:t>Desarrollar sumideros locales que coadyuvan otros objetivos de conservación ambiental</w:t>
      </w:r>
    </w:p>
    <w:p w14:paraId="036E3EAD" w14:textId="77777777" w:rsidR="006F6CE3" w:rsidRDefault="00017497">
      <w:pPr>
        <w:spacing w:before="120" w:after="120" w:line="240" w:lineRule="auto"/>
        <w:jc w:val="both"/>
      </w:pPr>
      <w:r>
        <w:t>Las metas presentadas a continuación representan los temas relevantes al cambio climático priorizados por las comunidades indicadas mediante el proceso de planificación estratégica del CBPC y otras consultas abiertas.</w:t>
      </w:r>
    </w:p>
    <w:p w14:paraId="37672FD7" w14:textId="77777777" w:rsidR="006F6CE3" w:rsidRDefault="006F6CE3">
      <w:pPr>
        <w:spacing w:before="120" w:after="120" w:line="240" w:lineRule="auto"/>
        <w:jc w:val="both"/>
      </w:pPr>
    </w:p>
    <w:p w14:paraId="0CA31F67" w14:textId="77777777" w:rsidR="006F6CE3" w:rsidRDefault="00017497">
      <w:pPr>
        <w:spacing w:before="120" w:after="120" w:line="240" w:lineRule="auto"/>
        <w:jc w:val="both"/>
      </w:pPr>
      <w:r>
        <w:t xml:space="preserve"> </w:t>
      </w:r>
    </w:p>
    <w:p w14:paraId="68F87327" w14:textId="77777777" w:rsidR="006F6CE3" w:rsidRDefault="00017497">
      <w:pPr>
        <w:spacing w:after="0" w:line="240" w:lineRule="auto"/>
        <w:rPr>
          <w:rFonts w:ascii="Arial" w:eastAsia="Arial" w:hAnsi="Arial" w:cs="Arial"/>
          <w:color w:val="000000"/>
          <w:sz w:val="19"/>
          <w:szCs w:val="19"/>
        </w:rPr>
      </w:pPr>
      <w:r>
        <w:br w:type="page"/>
      </w:r>
    </w:p>
    <w:p w14:paraId="1E669CFA" w14:textId="77777777" w:rsidR="006F6CE3" w:rsidRDefault="006F6CE3">
      <w:pPr>
        <w:spacing w:after="0" w:line="240" w:lineRule="auto"/>
        <w:rPr>
          <w:rFonts w:ascii="Arial" w:eastAsia="Arial" w:hAnsi="Arial" w:cs="Arial"/>
          <w:color w:val="000000"/>
          <w:sz w:val="19"/>
          <w:szCs w:val="19"/>
        </w:rPr>
      </w:pPr>
    </w:p>
    <w:p w14:paraId="61A0D552" w14:textId="77777777" w:rsidR="006F6CE3" w:rsidRDefault="00017497">
      <w:pPr>
        <w:shd w:val="clear" w:color="auto" w:fill="D9D9D9"/>
        <w:spacing w:after="0" w:line="240" w:lineRule="auto"/>
        <w:rPr>
          <w:b/>
          <w:u w:val="single"/>
        </w:rPr>
      </w:pPr>
      <w:r>
        <w:rPr>
          <w:b/>
          <w:u w:val="single"/>
        </w:rPr>
        <w:t>LINEAMIENTOS</w:t>
      </w:r>
    </w:p>
    <w:p w14:paraId="722494F6" w14:textId="77777777" w:rsidR="006F6CE3" w:rsidRDefault="006F6CE3">
      <w:pPr>
        <w:pBdr>
          <w:top w:val="nil"/>
          <w:left w:val="nil"/>
          <w:bottom w:val="nil"/>
          <w:right w:val="nil"/>
          <w:between w:val="nil"/>
        </w:pBdr>
        <w:spacing w:after="0" w:line="240" w:lineRule="auto"/>
        <w:jc w:val="both"/>
        <w:rPr>
          <w:color w:val="000000"/>
        </w:rPr>
      </w:pPr>
    </w:p>
    <w:p w14:paraId="007389F9" w14:textId="77777777" w:rsidR="006F6CE3" w:rsidRDefault="00017497">
      <w:pPr>
        <w:pBdr>
          <w:top w:val="nil"/>
          <w:left w:val="nil"/>
          <w:bottom w:val="nil"/>
          <w:right w:val="nil"/>
          <w:between w:val="nil"/>
        </w:pBdr>
        <w:spacing w:after="0" w:line="240" w:lineRule="auto"/>
        <w:jc w:val="both"/>
        <w:rPr>
          <w:color w:val="000000"/>
        </w:rPr>
      </w:pPr>
      <w:r>
        <w:rPr>
          <w:color w:val="000000"/>
        </w:rPr>
        <w:t>Los proyectos que el FCM apoyará deben cumplir una de las siguientes metas, demostrando su impacto mediante al menos uno de los indicadores definidos.</w:t>
      </w:r>
    </w:p>
    <w:p w14:paraId="6B80B872" w14:textId="77777777" w:rsidR="006F6CE3" w:rsidRDefault="006F6CE3">
      <w:pPr>
        <w:pBdr>
          <w:top w:val="nil"/>
          <w:left w:val="nil"/>
          <w:bottom w:val="nil"/>
          <w:right w:val="nil"/>
          <w:between w:val="nil"/>
        </w:pBdr>
        <w:spacing w:after="120" w:line="240" w:lineRule="auto"/>
        <w:jc w:val="both"/>
        <w:rPr>
          <w:color w:val="000000"/>
        </w:rPr>
      </w:pPr>
    </w:p>
    <w:tbl>
      <w:tblPr>
        <w:tblStyle w:val="a1"/>
        <w:tblW w:w="1037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00"/>
        <w:gridCol w:w="5672"/>
      </w:tblGrid>
      <w:tr w:rsidR="006F6CE3" w14:paraId="09CE9FBF" w14:textId="77777777">
        <w:trPr>
          <w:trHeight w:val="467"/>
          <w:jc w:val="center"/>
        </w:trPr>
        <w:tc>
          <w:tcPr>
            <w:tcW w:w="4700" w:type="dxa"/>
            <w:shd w:val="clear" w:color="auto" w:fill="BFBFBF"/>
            <w:vAlign w:val="center"/>
          </w:tcPr>
          <w:p w14:paraId="4430E6F3" w14:textId="77777777" w:rsidR="006F6CE3" w:rsidRDefault="00017497">
            <w:pPr>
              <w:pBdr>
                <w:top w:val="nil"/>
                <w:left w:val="nil"/>
                <w:bottom w:val="nil"/>
                <w:right w:val="nil"/>
                <w:between w:val="nil"/>
              </w:pBdr>
              <w:spacing w:after="0" w:line="240" w:lineRule="auto"/>
              <w:jc w:val="center"/>
              <w:rPr>
                <w:b/>
                <w:color w:val="000000"/>
                <w:sz w:val="18"/>
                <w:szCs w:val="18"/>
                <w:u w:val="single"/>
              </w:rPr>
            </w:pPr>
            <w:r>
              <w:rPr>
                <w:b/>
                <w:color w:val="000000"/>
                <w:sz w:val="18"/>
                <w:szCs w:val="18"/>
                <w:u w:val="single"/>
              </w:rPr>
              <w:t>METAS</w:t>
            </w:r>
          </w:p>
        </w:tc>
        <w:tc>
          <w:tcPr>
            <w:tcW w:w="5672" w:type="dxa"/>
            <w:shd w:val="clear" w:color="auto" w:fill="BFBFBF"/>
            <w:vAlign w:val="center"/>
          </w:tcPr>
          <w:p w14:paraId="2318CF1F" w14:textId="77777777" w:rsidR="006F6CE3" w:rsidRDefault="00017497">
            <w:pPr>
              <w:pBdr>
                <w:top w:val="nil"/>
                <w:left w:val="nil"/>
                <w:bottom w:val="nil"/>
                <w:right w:val="nil"/>
                <w:between w:val="nil"/>
              </w:pBdr>
              <w:spacing w:after="0" w:line="240" w:lineRule="auto"/>
              <w:jc w:val="center"/>
              <w:rPr>
                <w:b/>
                <w:color w:val="000000"/>
                <w:sz w:val="18"/>
                <w:szCs w:val="18"/>
                <w:u w:val="single"/>
              </w:rPr>
            </w:pPr>
            <w:r>
              <w:rPr>
                <w:b/>
                <w:color w:val="000000"/>
                <w:sz w:val="18"/>
                <w:szCs w:val="18"/>
                <w:u w:val="single"/>
              </w:rPr>
              <w:t>INDICADORES</w:t>
            </w:r>
          </w:p>
        </w:tc>
      </w:tr>
      <w:tr w:rsidR="006F6CE3" w14:paraId="74A410D5" w14:textId="77777777">
        <w:trPr>
          <w:trHeight w:val="287"/>
          <w:jc w:val="center"/>
        </w:trPr>
        <w:tc>
          <w:tcPr>
            <w:tcW w:w="4700" w:type="dxa"/>
          </w:tcPr>
          <w:p w14:paraId="56D320CD" w14:textId="77777777" w:rsidR="006F6CE3" w:rsidRDefault="00017497">
            <w:pPr>
              <w:numPr>
                <w:ilvl w:val="0"/>
                <w:numId w:val="7"/>
              </w:numPr>
              <w:pBdr>
                <w:top w:val="nil"/>
                <w:left w:val="nil"/>
                <w:bottom w:val="nil"/>
                <w:right w:val="nil"/>
                <w:between w:val="nil"/>
              </w:pBdr>
              <w:spacing w:after="60" w:line="240" w:lineRule="auto"/>
              <w:ind w:left="270" w:hanging="270"/>
              <w:rPr>
                <w:color w:val="000000"/>
                <w:sz w:val="21"/>
                <w:szCs w:val="21"/>
              </w:rPr>
            </w:pPr>
            <w:r>
              <w:rPr>
                <w:color w:val="000000"/>
                <w:sz w:val="21"/>
                <w:szCs w:val="21"/>
              </w:rPr>
              <w:t>Motivar a vecinos, organizaciones locales y visitantes a reducir su huella de carbono y contribuir a la mitigación y secuestro de carbono en la zona</w:t>
            </w:r>
          </w:p>
        </w:tc>
        <w:tc>
          <w:tcPr>
            <w:tcW w:w="5672" w:type="dxa"/>
          </w:tcPr>
          <w:p w14:paraId="7C9E3E12" w14:textId="77777777" w:rsidR="006F6CE3" w:rsidRDefault="00017497">
            <w:pPr>
              <w:numPr>
                <w:ilvl w:val="0"/>
                <w:numId w:val="6"/>
              </w:numPr>
              <w:spacing w:after="60" w:line="240" w:lineRule="auto"/>
              <w:ind w:left="252" w:hanging="180"/>
              <w:rPr>
                <w:sz w:val="21"/>
                <w:szCs w:val="21"/>
              </w:rPr>
            </w:pPr>
            <w:r>
              <w:rPr>
                <w:sz w:val="21"/>
                <w:szCs w:val="21"/>
              </w:rPr>
              <w:t># de organizaciones que reciben capacitación sobre cómo calcular y disminuir su huella de carbono.</w:t>
            </w:r>
          </w:p>
          <w:p w14:paraId="5DC0446E" w14:textId="77777777" w:rsidR="006F6CE3" w:rsidRDefault="00017497">
            <w:pPr>
              <w:numPr>
                <w:ilvl w:val="0"/>
                <w:numId w:val="6"/>
              </w:numPr>
              <w:spacing w:after="60" w:line="240" w:lineRule="auto"/>
              <w:ind w:left="252" w:hanging="180"/>
              <w:rPr>
                <w:sz w:val="21"/>
                <w:szCs w:val="21"/>
              </w:rPr>
            </w:pPr>
            <w:r>
              <w:rPr>
                <w:sz w:val="21"/>
                <w:szCs w:val="21"/>
              </w:rPr>
              <w:t># de organizaciones en proceso de ser carbono neutro (certificado o no)</w:t>
            </w:r>
          </w:p>
          <w:p w14:paraId="340E0E99" w14:textId="77777777" w:rsidR="006F6CE3" w:rsidRDefault="00017497">
            <w:pPr>
              <w:numPr>
                <w:ilvl w:val="0"/>
                <w:numId w:val="6"/>
              </w:numPr>
              <w:spacing w:after="60" w:line="240" w:lineRule="auto"/>
              <w:ind w:left="252" w:hanging="180"/>
              <w:rPr>
                <w:sz w:val="21"/>
                <w:szCs w:val="21"/>
              </w:rPr>
            </w:pPr>
            <w:r>
              <w:rPr>
                <w:color w:val="000000"/>
                <w:sz w:val="21"/>
                <w:szCs w:val="21"/>
              </w:rPr>
              <w:t>toneladas de un GEI reducido y/o mitigado anualmente</w:t>
            </w:r>
          </w:p>
          <w:p w14:paraId="1A52C6DF" w14:textId="77777777" w:rsidR="006F6CE3" w:rsidRDefault="00017497">
            <w:pPr>
              <w:numPr>
                <w:ilvl w:val="0"/>
                <w:numId w:val="6"/>
              </w:numPr>
              <w:spacing w:after="60" w:line="240" w:lineRule="auto"/>
              <w:ind w:left="252" w:hanging="180"/>
              <w:rPr>
                <w:sz w:val="21"/>
                <w:szCs w:val="21"/>
              </w:rPr>
            </w:pPr>
            <w:r>
              <w:rPr>
                <w:sz w:val="21"/>
                <w:szCs w:val="21"/>
              </w:rPr>
              <w:t># de turistas que pagan para compensar la huella de su viaje</w:t>
            </w:r>
          </w:p>
        </w:tc>
      </w:tr>
      <w:tr w:rsidR="006F6CE3" w14:paraId="55A25969" w14:textId="77777777">
        <w:trPr>
          <w:trHeight w:val="759"/>
          <w:jc w:val="center"/>
        </w:trPr>
        <w:tc>
          <w:tcPr>
            <w:tcW w:w="4700" w:type="dxa"/>
          </w:tcPr>
          <w:p w14:paraId="5526A195" w14:textId="77777777" w:rsidR="006F6CE3" w:rsidRDefault="00017497">
            <w:pPr>
              <w:numPr>
                <w:ilvl w:val="0"/>
                <w:numId w:val="7"/>
              </w:numPr>
              <w:pBdr>
                <w:top w:val="nil"/>
                <w:left w:val="nil"/>
                <w:bottom w:val="nil"/>
                <w:right w:val="nil"/>
                <w:between w:val="nil"/>
              </w:pBdr>
              <w:spacing w:after="60" w:line="240" w:lineRule="auto"/>
              <w:ind w:left="270" w:hanging="270"/>
              <w:rPr>
                <w:color w:val="000000"/>
                <w:sz w:val="21"/>
                <w:szCs w:val="21"/>
              </w:rPr>
            </w:pPr>
            <w:r>
              <w:rPr>
                <w:color w:val="000000"/>
                <w:sz w:val="21"/>
                <w:szCs w:val="21"/>
              </w:rPr>
              <w:t>Aumentar la cobertura forestal en la zona</w:t>
            </w:r>
          </w:p>
        </w:tc>
        <w:tc>
          <w:tcPr>
            <w:tcW w:w="5672" w:type="dxa"/>
          </w:tcPr>
          <w:p w14:paraId="4611A1AD" w14:textId="77777777" w:rsidR="006F6CE3" w:rsidRDefault="00017497">
            <w:pPr>
              <w:numPr>
                <w:ilvl w:val="0"/>
                <w:numId w:val="6"/>
              </w:numPr>
              <w:spacing w:after="60" w:line="240" w:lineRule="auto"/>
              <w:ind w:left="252" w:hanging="180"/>
              <w:rPr>
                <w:color w:val="000000"/>
                <w:sz w:val="21"/>
                <w:szCs w:val="21"/>
              </w:rPr>
            </w:pPr>
            <w:r>
              <w:rPr>
                <w:color w:val="000000"/>
                <w:sz w:val="21"/>
                <w:szCs w:val="21"/>
              </w:rPr>
              <w:t># o % de hectáreas de zonas protectoras recuperadas (reforestación o estabilización)</w:t>
            </w:r>
          </w:p>
          <w:p w14:paraId="2D744DCE" w14:textId="035B9D11" w:rsidR="006F6CE3" w:rsidRDefault="00017497">
            <w:pPr>
              <w:numPr>
                <w:ilvl w:val="0"/>
                <w:numId w:val="6"/>
              </w:numPr>
              <w:spacing w:after="60" w:line="240" w:lineRule="auto"/>
              <w:ind w:left="252" w:hanging="180"/>
              <w:rPr>
                <w:color w:val="000000"/>
                <w:sz w:val="21"/>
                <w:szCs w:val="21"/>
              </w:rPr>
            </w:pPr>
            <w:r>
              <w:rPr>
                <w:color w:val="000000"/>
                <w:sz w:val="21"/>
                <w:szCs w:val="21"/>
              </w:rPr>
              <w:t xml:space="preserve"># o % de hectáreas de zonas protectoras protegidas con cercas u </w:t>
            </w:r>
            <w:r w:rsidR="003A45E0">
              <w:rPr>
                <w:color w:val="000000"/>
                <w:sz w:val="21"/>
                <w:szCs w:val="21"/>
              </w:rPr>
              <w:t>otra buena</w:t>
            </w:r>
            <w:r>
              <w:rPr>
                <w:color w:val="000000"/>
                <w:sz w:val="21"/>
                <w:szCs w:val="21"/>
              </w:rPr>
              <w:t xml:space="preserve"> práctica</w:t>
            </w:r>
          </w:p>
          <w:p w14:paraId="61D99726" w14:textId="77777777" w:rsidR="006F6CE3" w:rsidRDefault="00017497">
            <w:pPr>
              <w:numPr>
                <w:ilvl w:val="0"/>
                <w:numId w:val="6"/>
              </w:numPr>
              <w:spacing w:after="60" w:line="240" w:lineRule="auto"/>
              <w:ind w:left="252" w:hanging="180"/>
              <w:rPr>
                <w:color w:val="000000"/>
                <w:sz w:val="21"/>
                <w:szCs w:val="21"/>
              </w:rPr>
            </w:pPr>
            <w:r>
              <w:rPr>
                <w:color w:val="000000"/>
                <w:sz w:val="21"/>
                <w:szCs w:val="21"/>
              </w:rPr>
              <w:t># de árboles sembrados</w:t>
            </w:r>
          </w:p>
          <w:p w14:paraId="7388794C" w14:textId="77777777" w:rsidR="006F6CE3" w:rsidRDefault="00017497">
            <w:pPr>
              <w:numPr>
                <w:ilvl w:val="0"/>
                <w:numId w:val="6"/>
              </w:numPr>
              <w:spacing w:after="60" w:line="240" w:lineRule="auto"/>
              <w:ind w:left="252" w:hanging="180"/>
              <w:rPr>
                <w:color w:val="000000"/>
                <w:sz w:val="21"/>
                <w:szCs w:val="21"/>
              </w:rPr>
            </w:pPr>
            <w:r>
              <w:rPr>
                <w:color w:val="000000"/>
                <w:sz w:val="21"/>
                <w:szCs w:val="21"/>
              </w:rPr>
              <w:t>toneladas de un GEI secuestrado anualmente</w:t>
            </w:r>
          </w:p>
        </w:tc>
      </w:tr>
      <w:tr w:rsidR="006F6CE3" w14:paraId="75F2F8B2" w14:textId="77777777">
        <w:trPr>
          <w:trHeight w:val="522"/>
          <w:jc w:val="center"/>
        </w:trPr>
        <w:tc>
          <w:tcPr>
            <w:tcW w:w="4700" w:type="dxa"/>
          </w:tcPr>
          <w:p w14:paraId="504CF446" w14:textId="77777777" w:rsidR="006F6CE3" w:rsidRDefault="00017497">
            <w:pPr>
              <w:numPr>
                <w:ilvl w:val="0"/>
                <w:numId w:val="7"/>
              </w:numPr>
              <w:pBdr>
                <w:top w:val="nil"/>
                <w:left w:val="nil"/>
                <w:bottom w:val="nil"/>
                <w:right w:val="nil"/>
                <w:between w:val="nil"/>
              </w:pBdr>
              <w:spacing w:after="60" w:line="240" w:lineRule="auto"/>
              <w:ind w:left="270" w:hanging="270"/>
              <w:rPr>
                <w:color w:val="000000"/>
                <w:sz w:val="21"/>
                <w:szCs w:val="21"/>
              </w:rPr>
            </w:pPr>
            <w:r>
              <w:rPr>
                <w:color w:val="000000"/>
                <w:sz w:val="21"/>
                <w:szCs w:val="21"/>
              </w:rPr>
              <w:t>Disminuir el consumo neto de electricidad de fuentes de combustibles fósiles</w:t>
            </w:r>
          </w:p>
        </w:tc>
        <w:tc>
          <w:tcPr>
            <w:tcW w:w="5672" w:type="dxa"/>
          </w:tcPr>
          <w:p w14:paraId="3344072F" w14:textId="77777777" w:rsidR="006F6CE3" w:rsidRDefault="00017497">
            <w:pPr>
              <w:numPr>
                <w:ilvl w:val="0"/>
                <w:numId w:val="6"/>
              </w:numPr>
              <w:spacing w:after="60" w:line="240" w:lineRule="auto"/>
              <w:ind w:left="252" w:hanging="180"/>
              <w:rPr>
                <w:color w:val="000000"/>
                <w:sz w:val="21"/>
                <w:szCs w:val="21"/>
              </w:rPr>
            </w:pPr>
            <w:r>
              <w:rPr>
                <w:color w:val="000000"/>
                <w:sz w:val="21"/>
                <w:szCs w:val="21"/>
              </w:rPr>
              <w:t>Reducción de la electricidad consumida (</w:t>
            </w:r>
            <w:proofErr w:type="spellStart"/>
            <w:r>
              <w:rPr>
                <w:color w:val="000000"/>
                <w:sz w:val="21"/>
                <w:szCs w:val="21"/>
              </w:rPr>
              <w:t>Kwh</w:t>
            </w:r>
            <w:proofErr w:type="spellEnd"/>
            <w:r>
              <w:rPr>
                <w:color w:val="000000"/>
                <w:sz w:val="21"/>
                <w:szCs w:val="21"/>
              </w:rPr>
              <w:t>) del ICE</w:t>
            </w:r>
          </w:p>
          <w:p w14:paraId="53D4632D" w14:textId="77777777" w:rsidR="006F6CE3" w:rsidRDefault="00017497">
            <w:pPr>
              <w:numPr>
                <w:ilvl w:val="0"/>
                <w:numId w:val="6"/>
              </w:numPr>
              <w:spacing w:after="60" w:line="240" w:lineRule="auto"/>
              <w:ind w:left="252" w:hanging="180"/>
              <w:rPr>
                <w:color w:val="000000"/>
                <w:sz w:val="21"/>
                <w:szCs w:val="21"/>
              </w:rPr>
            </w:pPr>
            <w:r>
              <w:rPr>
                <w:color w:val="000000"/>
                <w:sz w:val="21"/>
                <w:szCs w:val="21"/>
              </w:rPr>
              <w:t># de paneles solares, y otros generadores locales en la zona</w:t>
            </w:r>
          </w:p>
          <w:p w14:paraId="15ED8BAB" w14:textId="77777777" w:rsidR="006F6CE3" w:rsidRDefault="00017497">
            <w:pPr>
              <w:numPr>
                <w:ilvl w:val="0"/>
                <w:numId w:val="6"/>
              </w:numPr>
              <w:spacing w:after="60" w:line="240" w:lineRule="auto"/>
              <w:ind w:left="252" w:hanging="180"/>
              <w:rPr>
                <w:color w:val="000000"/>
                <w:sz w:val="21"/>
                <w:szCs w:val="21"/>
              </w:rPr>
            </w:pPr>
            <w:r>
              <w:rPr>
                <w:color w:val="000000"/>
                <w:sz w:val="21"/>
                <w:szCs w:val="21"/>
              </w:rPr>
              <w:t>toneladas de un GEI reducido y/o mitigado anualmente</w:t>
            </w:r>
          </w:p>
          <w:p w14:paraId="5513DC30" w14:textId="77777777" w:rsidR="006F6CE3" w:rsidRDefault="00017497">
            <w:pPr>
              <w:numPr>
                <w:ilvl w:val="0"/>
                <w:numId w:val="6"/>
              </w:numPr>
              <w:spacing w:after="60" w:line="240" w:lineRule="auto"/>
              <w:ind w:left="252" w:hanging="180"/>
              <w:rPr>
                <w:color w:val="000000"/>
                <w:sz w:val="21"/>
                <w:szCs w:val="21"/>
              </w:rPr>
            </w:pPr>
            <w:r>
              <w:rPr>
                <w:color w:val="000000"/>
                <w:sz w:val="21"/>
                <w:szCs w:val="21"/>
              </w:rPr>
              <w:t>toneladas de un GEI reducido anualmente por intercambio de tecnología</w:t>
            </w:r>
          </w:p>
        </w:tc>
      </w:tr>
      <w:tr w:rsidR="006F6CE3" w14:paraId="5E3D77C0" w14:textId="77777777">
        <w:trPr>
          <w:trHeight w:val="261"/>
          <w:jc w:val="center"/>
        </w:trPr>
        <w:tc>
          <w:tcPr>
            <w:tcW w:w="4700" w:type="dxa"/>
          </w:tcPr>
          <w:p w14:paraId="053BCE03" w14:textId="77777777" w:rsidR="006F6CE3" w:rsidRDefault="00017497">
            <w:pPr>
              <w:numPr>
                <w:ilvl w:val="0"/>
                <w:numId w:val="7"/>
              </w:numPr>
              <w:pBdr>
                <w:top w:val="nil"/>
                <w:left w:val="nil"/>
                <w:bottom w:val="nil"/>
                <w:right w:val="nil"/>
                <w:between w:val="nil"/>
              </w:pBdr>
              <w:spacing w:after="60" w:line="240" w:lineRule="auto"/>
              <w:ind w:left="270" w:hanging="270"/>
              <w:rPr>
                <w:color w:val="000000"/>
                <w:sz w:val="21"/>
                <w:szCs w:val="21"/>
              </w:rPr>
            </w:pPr>
            <w:r>
              <w:rPr>
                <w:color w:val="000000"/>
                <w:sz w:val="21"/>
                <w:szCs w:val="21"/>
              </w:rPr>
              <w:t>Disminuir el consumo de combustibles fósiles por transporte</w:t>
            </w:r>
          </w:p>
        </w:tc>
        <w:tc>
          <w:tcPr>
            <w:tcW w:w="5672" w:type="dxa"/>
          </w:tcPr>
          <w:p w14:paraId="625AFA9E" w14:textId="77777777" w:rsidR="006F6CE3" w:rsidRDefault="00017497">
            <w:pPr>
              <w:numPr>
                <w:ilvl w:val="0"/>
                <w:numId w:val="6"/>
              </w:numPr>
              <w:spacing w:after="60" w:line="240" w:lineRule="auto"/>
              <w:ind w:left="252" w:hanging="180"/>
              <w:rPr>
                <w:color w:val="000000"/>
                <w:sz w:val="21"/>
                <w:szCs w:val="21"/>
              </w:rPr>
            </w:pPr>
            <w:r>
              <w:rPr>
                <w:color w:val="000000"/>
                <w:sz w:val="21"/>
                <w:szCs w:val="21"/>
              </w:rPr>
              <w:t>Reducción en los hidrocarburos consumidos (litros)</w:t>
            </w:r>
          </w:p>
          <w:p w14:paraId="574D5BB6" w14:textId="77777777" w:rsidR="006F6CE3" w:rsidRDefault="00017497">
            <w:pPr>
              <w:numPr>
                <w:ilvl w:val="0"/>
                <w:numId w:val="6"/>
              </w:numPr>
              <w:spacing w:after="60" w:line="240" w:lineRule="auto"/>
              <w:ind w:left="252" w:hanging="180"/>
              <w:rPr>
                <w:sz w:val="21"/>
                <w:szCs w:val="21"/>
              </w:rPr>
            </w:pPr>
            <w:r>
              <w:rPr>
                <w:sz w:val="21"/>
                <w:szCs w:val="21"/>
              </w:rPr>
              <w:t>Aumento en el uso de transporte público/colectivo</w:t>
            </w:r>
          </w:p>
          <w:p w14:paraId="4DC42690" w14:textId="2836FFF0" w:rsidR="006F6CE3" w:rsidRDefault="00017497">
            <w:pPr>
              <w:numPr>
                <w:ilvl w:val="0"/>
                <w:numId w:val="6"/>
              </w:numPr>
              <w:spacing w:after="60" w:line="240" w:lineRule="auto"/>
              <w:ind w:left="252" w:hanging="180"/>
              <w:rPr>
                <w:sz w:val="21"/>
                <w:szCs w:val="21"/>
              </w:rPr>
            </w:pPr>
            <w:r>
              <w:rPr>
                <w:sz w:val="21"/>
                <w:szCs w:val="21"/>
              </w:rPr>
              <w:t xml:space="preserve">Aumento en uso de número de personas caminando </w:t>
            </w:r>
            <w:r w:rsidR="003A45E0">
              <w:rPr>
                <w:sz w:val="21"/>
                <w:szCs w:val="21"/>
              </w:rPr>
              <w:t>y andando</w:t>
            </w:r>
            <w:r>
              <w:rPr>
                <w:sz w:val="21"/>
                <w:szCs w:val="21"/>
              </w:rPr>
              <w:t xml:space="preserve"> en bicicleta</w:t>
            </w:r>
          </w:p>
          <w:p w14:paraId="79084D28" w14:textId="77777777" w:rsidR="006F6CE3" w:rsidRDefault="00017497">
            <w:pPr>
              <w:numPr>
                <w:ilvl w:val="0"/>
                <w:numId w:val="6"/>
              </w:numPr>
              <w:spacing w:after="60" w:line="240" w:lineRule="auto"/>
              <w:ind w:left="252" w:hanging="180"/>
              <w:rPr>
                <w:sz w:val="21"/>
                <w:szCs w:val="21"/>
              </w:rPr>
            </w:pPr>
            <w:r>
              <w:rPr>
                <w:sz w:val="21"/>
                <w:szCs w:val="21"/>
              </w:rPr>
              <w:t>Aumento en formas de tra</w:t>
            </w:r>
            <w:r>
              <w:rPr>
                <w:sz w:val="21"/>
                <w:szCs w:val="21"/>
              </w:rPr>
              <w:t>nsporte de menor consumo</w:t>
            </w:r>
          </w:p>
          <w:p w14:paraId="4E84F87B" w14:textId="77777777" w:rsidR="006F6CE3" w:rsidRDefault="00017497">
            <w:pPr>
              <w:numPr>
                <w:ilvl w:val="0"/>
                <w:numId w:val="6"/>
              </w:numPr>
              <w:spacing w:after="60" w:line="240" w:lineRule="auto"/>
              <w:ind w:left="252" w:hanging="180"/>
              <w:rPr>
                <w:sz w:val="21"/>
                <w:szCs w:val="21"/>
              </w:rPr>
            </w:pPr>
            <w:r>
              <w:rPr>
                <w:color w:val="000000"/>
                <w:sz w:val="21"/>
                <w:szCs w:val="21"/>
              </w:rPr>
              <w:t>toneladas de un GEI reducido y/o mitigado anualmente</w:t>
            </w:r>
          </w:p>
        </w:tc>
      </w:tr>
      <w:tr w:rsidR="006F6CE3" w14:paraId="3A4F1528" w14:textId="77777777">
        <w:trPr>
          <w:trHeight w:val="620"/>
          <w:jc w:val="center"/>
        </w:trPr>
        <w:tc>
          <w:tcPr>
            <w:tcW w:w="4700" w:type="dxa"/>
          </w:tcPr>
          <w:p w14:paraId="7727DE42" w14:textId="77777777" w:rsidR="006F6CE3" w:rsidRDefault="00017497">
            <w:pPr>
              <w:numPr>
                <w:ilvl w:val="0"/>
                <w:numId w:val="7"/>
              </w:numPr>
              <w:pBdr>
                <w:top w:val="nil"/>
                <w:left w:val="nil"/>
                <w:bottom w:val="nil"/>
                <w:right w:val="nil"/>
                <w:between w:val="nil"/>
              </w:pBdr>
              <w:spacing w:after="60" w:line="240" w:lineRule="auto"/>
              <w:ind w:left="270" w:hanging="270"/>
              <w:rPr>
                <w:color w:val="000000"/>
                <w:sz w:val="21"/>
                <w:szCs w:val="21"/>
              </w:rPr>
            </w:pPr>
            <w:r>
              <w:rPr>
                <w:color w:val="000000"/>
                <w:sz w:val="21"/>
                <w:szCs w:val="21"/>
              </w:rPr>
              <w:t>Disminuir la quema de biomasa en la zona</w:t>
            </w:r>
          </w:p>
        </w:tc>
        <w:tc>
          <w:tcPr>
            <w:tcW w:w="5672" w:type="dxa"/>
          </w:tcPr>
          <w:p w14:paraId="4F867E31" w14:textId="77777777" w:rsidR="006F6CE3" w:rsidRDefault="00017497">
            <w:pPr>
              <w:numPr>
                <w:ilvl w:val="0"/>
                <w:numId w:val="6"/>
              </w:numPr>
              <w:spacing w:after="60" w:line="240" w:lineRule="auto"/>
              <w:ind w:left="252" w:hanging="180"/>
              <w:rPr>
                <w:color w:val="000000"/>
                <w:sz w:val="21"/>
                <w:szCs w:val="21"/>
              </w:rPr>
            </w:pPr>
            <w:r>
              <w:rPr>
                <w:color w:val="000000"/>
                <w:sz w:val="21"/>
                <w:szCs w:val="21"/>
              </w:rPr>
              <w:t>Reducción en la leña quemada (kilogramos o horas/día)</w:t>
            </w:r>
          </w:p>
          <w:p w14:paraId="75A3ED26" w14:textId="77777777" w:rsidR="006F6CE3" w:rsidRDefault="00017497">
            <w:pPr>
              <w:numPr>
                <w:ilvl w:val="0"/>
                <w:numId w:val="6"/>
              </w:numPr>
              <w:spacing w:after="60" w:line="240" w:lineRule="auto"/>
              <w:ind w:left="252" w:hanging="180"/>
              <w:rPr>
                <w:sz w:val="21"/>
                <w:szCs w:val="21"/>
              </w:rPr>
            </w:pPr>
            <w:r>
              <w:rPr>
                <w:sz w:val="21"/>
                <w:szCs w:val="21"/>
              </w:rPr>
              <w:t>Reducción de hectáreas quemadas</w:t>
            </w:r>
          </w:p>
          <w:p w14:paraId="2CCDB25B" w14:textId="77777777" w:rsidR="006F6CE3" w:rsidRDefault="00017497">
            <w:pPr>
              <w:numPr>
                <w:ilvl w:val="0"/>
                <w:numId w:val="6"/>
              </w:numPr>
              <w:spacing w:after="60" w:line="240" w:lineRule="auto"/>
              <w:ind w:left="252" w:hanging="180"/>
              <w:rPr>
                <w:sz w:val="21"/>
                <w:szCs w:val="21"/>
              </w:rPr>
            </w:pPr>
            <w:r>
              <w:rPr>
                <w:sz w:val="21"/>
                <w:szCs w:val="21"/>
              </w:rPr>
              <w:t>Reducción de # de familias que queman basura</w:t>
            </w:r>
          </w:p>
          <w:p w14:paraId="6A402818" w14:textId="77777777" w:rsidR="006F6CE3" w:rsidRDefault="00017497">
            <w:pPr>
              <w:numPr>
                <w:ilvl w:val="0"/>
                <w:numId w:val="6"/>
              </w:numPr>
              <w:spacing w:after="60" w:line="240" w:lineRule="auto"/>
              <w:ind w:left="252" w:hanging="180"/>
              <w:rPr>
                <w:sz w:val="21"/>
                <w:szCs w:val="21"/>
              </w:rPr>
            </w:pPr>
            <w:r>
              <w:rPr>
                <w:color w:val="000000"/>
                <w:sz w:val="21"/>
                <w:szCs w:val="21"/>
              </w:rPr>
              <w:t>toneladas de un GEI reducido y/o mitigado anualmente</w:t>
            </w:r>
            <w:r>
              <w:rPr>
                <w:sz w:val="21"/>
                <w:szCs w:val="21"/>
              </w:rPr>
              <w:t xml:space="preserve"> </w:t>
            </w:r>
          </w:p>
        </w:tc>
      </w:tr>
      <w:tr w:rsidR="006F6CE3" w14:paraId="79414AFD" w14:textId="77777777">
        <w:trPr>
          <w:trHeight w:val="584"/>
          <w:jc w:val="center"/>
        </w:trPr>
        <w:tc>
          <w:tcPr>
            <w:tcW w:w="4700" w:type="dxa"/>
          </w:tcPr>
          <w:p w14:paraId="06EB83B7" w14:textId="77777777" w:rsidR="006F6CE3" w:rsidRDefault="00017497">
            <w:pPr>
              <w:numPr>
                <w:ilvl w:val="0"/>
                <w:numId w:val="7"/>
              </w:numPr>
              <w:pBdr>
                <w:top w:val="nil"/>
                <w:left w:val="nil"/>
                <w:bottom w:val="nil"/>
                <w:right w:val="nil"/>
                <w:between w:val="nil"/>
              </w:pBdr>
              <w:spacing w:after="60" w:line="240" w:lineRule="auto"/>
              <w:ind w:left="270" w:hanging="270"/>
              <w:rPr>
                <w:color w:val="000000"/>
                <w:sz w:val="21"/>
                <w:szCs w:val="21"/>
              </w:rPr>
            </w:pPr>
            <w:r>
              <w:rPr>
                <w:color w:val="000000"/>
                <w:sz w:val="21"/>
                <w:szCs w:val="21"/>
              </w:rPr>
              <w:t>Disminuir la emisión de gas metano en la zona</w:t>
            </w:r>
          </w:p>
        </w:tc>
        <w:tc>
          <w:tcPr>
            <w:tcW w:w="5672" w:type="dxa"/>
          </w:tcPr>
          <w:p w14:paraId="1428B157" w14:textId="77777777" w:rsidR="006F6CE3" w:rsidRDefault="00017497">
            <w:pPr>
              <w:numPr>
                <w:ilvl w:val="0"/>
                <w:numId w:val="6"/>
              </w:numPr>
              <w:spacing w:after="60" w:line="240" w:lineRule="auto"/>
              <w:ind w:left="252" w:hanging="180"/>
              <w:rPr>
                <w:color w:val="000000"/>
                <w:sz w:val="21"/>
                <w:szCs w:val="21"/>
              </w:rPr>
            </w:pPr>
            <w:r>
              <w:rPr>
                <w:color w:val="000000"/>
                <w:sz w:val="21"/>
                <w:szCs w:val="21"/>
              </w:rPr>
              <w:t># de biodigestores funcionando en la zona</w:t>
            </w:r>
          </w:p>
          <w:p w14:paraId="7828105F" w14:textId="331EED9D" w:rsidR="006F6CE3" w:rsidRDefault="00017497">
            <w:pPr>
              <w:numPr>
                <w:ilvl w:val="0"/>
                <w:numId w:val="6"/>
              </w:numPr>
              <w:spacing w:after="60" w:line="240" w:lineRule="auto"/>
              <w:ind w:left="252" w:hanging="180"/>
              <w:rPr>
                <w:color w:val="000000"/>
                <w:sz w:val="21"/>
                <w:szCs w:val="21"/>
              </w:rPr>
            </w:pPr>
            <w:r>
              <w:rPr>
                <w:color w:val="000000"/>
                <w:sz w:val="21"/>
                <w:szCs w:val="21"/>
              </w:rPr>
              <w:t xml:space="preserve"># de kg de compostaje </w:t>
            </w:r>
            <w:r w:rsidR="003A45E0">
              <w:rPr>
                <w:color w:val="000000"/>
                <w:sz w:val="21"/>
                <w:szCs w:val="21"/>
              </w:rPr>
              <w:t>producido en</w:t>
            </w:r>
            <w:r>
              <w:rPr>
                <w:color w:val="000000"/>
                <w:sz w:val="21"/>
                <w:szCs w:val="21"/>
              </w:rPr>
              <w:t xml:space="preserve"> la zona</w:t>
            </w:r>
          </w:p>
          <w:p w14:paraId="34090E70" w14:textId="77777777" w:rsidR="006F6CE3" w:rsidRDefault="00017497">
            <w:pPr>
              <w:numPr>
                <w:ilvl w:val="0"/>
                <w:numId w:val="6"/>
              </w:numPr>
              <w:spacing w:after="60" w:line="240" w:lineRule="auto"/>
              <w:ind w:left="252" w:hanging="180"/>
              <w:rPr>
                <w:color w:val="000000"/>
                <w:sz w:val="21"/>
                <w:szCs w:val="21"/>
              </w:rPr>
            </w:pPr>
            <w:r>
              <w:rPr>
                <w:color w:val="000000"/>
                <w:sz w:val="21"/>
                <w:szCs w:val="21"/>
              </w:rPr>
              <w:t># de sistemas de compost en la zona</w:t>
            </w:r>
          </w:p>
          <w:p w14:paraId="5A7BB754" w14:textId="77777777" w:rsidR="006F6CE3" w:rsidRDefault="00017497">
            <w:pPr>
              <w:numPr>
                <w:ilvl w:val="0"/>
                <w:numId w:val="6"/>
              </w:numPr>
              <w:spacing w:after="60" w:line="240" w:lineRule="auto"/>
              <w:ind w:left="252" w:hanging="180"/>
              <w:rPr>
                <w:color w:val="000000"/>
                <w:sz w:val="21"/>
                <w:szCs w:val="21"/>
              </w:rPr>
            </w:pPr>
            <w:r>
              <w:rPr>
                <w:color w:val="000000"/>
                <w:sz w:val="21"/>
                <w:szCs w:val="21"/>
              </w:rPr>
              <w:t># de fincas manejando el estiércol ganadero</w:t>
            </w:r>
          </w:p>
          <w:p w14:paraId="5734E6C8" w14:textId="77777777" w:rsidR="006F6CE3" w:rsidRDefault="00017497">
            <w:pPr>
              <w:numPr>
                <w:ilvl w:val="0"/>
                <w:numId w:val="6"/>
              </w:numPr>
              <w:spacing w:after="60" w:line="240" w:lineRule="auto"/>
              <w:ind w:left="252" w:hanging="180"/>
              <w:rPr>
                <w:color w:val="000000"/>
                <w:sz w:val="21"/>
                <w:szCs w:val="21"/>
              </w:rPr>
            </w:pPr>
            <w:r>
              <w:rPr>
                <w:color w:val="000000"/>
                <w:sz w:val="21"/>
                <w:szCs w:val="21"/>
              </w:rPr>
              <w:t>litros de agua grises tratado</w:t>
            </w:r>
          </w:p>
          <w:p w14:paraId="23867B9F" w14:textId="77777777" w:rsidR="006F6CE3" w:rsidRDefault="00017497">
            <w:pPr>
              <w:numPr>
                <w:ilvl w:val="0"/>
                <w:numId w:val="6"/>
              </w:numPr>
              <w:spacing w:after="60" w:line="240" w:lineRule="auto"/>
              <w:ind w:left="252" w:hanging="180"/>
              <w:rPr>
                <w:color w:val="000000"/>
                <w:sz w:val="21"/>
                <w:szCs w:val="21"/>
              </w:rPr>
            </w:pPr>
            <w:r>
              <w:rPr>
                <w:color w:val="000000"/>
                <w:sz w:val="21"/>
                <w:szCs w:val="21"/>
              </w:rPr>
              <w:lastRenderedPageBreak/>
              <w:t># de tanques de gas LPG consumido</w:t>
            </w:r>
          </w:p>
        </w:tc>
      </w:tr>
      <w:tr w:rsidR="006F6CE3" w14:paraId="48AF9AD4" w14:textId="77777777">
        <w:trPr>
          <w:trHeight w:val="314"/>
          <w:jc w:val="center"/>
        </w:trPr>
        <w:tc>
          <w:tcPr>
            <w:tcW w:w="4700" w:type="dxa"/>
          </w:tcPr>
          <w:p w14:paraId="58E6D002" w14:textId="77777777" w:rsidR="006F6CE3" w:rsidRDefault="00017497">
            <w:pPr>
              <w:numPr>
                <w:ilvl w:val="0"/>
                <w:numId w:val="7"/>
              </w:numPr>
              <w:pBdr>
                <w:top w:val="nil"/>
                <w:left w:val="nil"/>
                <w:bottom w:val="nil"/>
                <w:right w:val="nil"/>
                <w:between w:val="nil"/>
              </w:pBdr>
              <w:spacing w:after="60" w:line="240" w:lineRule="auto"/>
              <w:ind w:left="270" w:hanging="270"/>
              <w:rPr>
                <w:color w:val="000000"/>
                <w:sz w:val="21"/>
                <w:szCs w:val="21"/>
              </w:rPr>
            </w:pPr>
            <w:r>
              <w:rPr>
                <w:color w:val="000000"/>
                <w:sz w:val="21"/>
                <w:szCs w:val="21"/>
              </w:rPr>
              <w:lastRenderedPageBreak/>
              <w:t>Disminuir la emisión de dióxido nitroso</w:t>
            </w:r>
          </w:p>
        </w:tc>
        <w:tc>
          <w:tcPr>
            <w:tcW w:w="5672" w:type="dxa"/>
          </w:tcPr>
          <w:p w14:paraId="29C6BF8F" w14:textId="77777777" w:rsidR="006F6CE3" w:rsidRDefault="00017497">
            <w:pPr>
              <w:numPr>
                <w:ilvl w:val="0"/>
                <w:numId w:val="6"/>
              </w:numPr>
              <w:spacing w:after="60" w:line="240" w:lineRule="auto"/>
              <w:ind w:left="252" w:hanging="180"/>
              <w:rPr>
                <w:color w:val="000000"/>
                <w:sz w:val="21"/>
                <w:szCs w:val="21"/>
              </w:rPr>
            </w:pPr>
            <w:r>
              <w:rPr>
                <w:color w:val="000000"/>
                <w:sz w:val="21"/>
                <w:szCs w:val="21"/>
              </w:rPr>
              <w:t>Reducción de Kg de fertilizante químico de nitrogenado aplicado en la zona</w:t>
            </w:r>
          </w:p>
        </w:tc>
      </w:tr>
      <w:tr w:rsidR="006F6CE3" w14:paraId="7D08A65A" w14:textId="77777777">
        <w:trPr>
          <w:trHeight w:val="522"/>
          <w:jc w:val="center"/>
        </w:trPr>
        <w:tc>
          <w:tcPr>
            <w:tcW w:w="4700" w:type="dxa"/>
          </w:tcPr>
          <w:p w14:paraId="13D3949B" w14:textId="77777777" w:rsidR="006F6CE3" w:rsidRDefault="00017497">
            <w:pPr>
              <w:numPr>
                <w:ilvl w:val="0"/>
                <w:numId w:val="7"/>
              </w:numPr>
              <w:pBdr>
                <w:top w:val="nil"/>
                <w:left w:val="nil"/>
                <w:bottom w:val="nil"/>
                <w:right w:val="nil"/>
                <w:between w:val="nil"/>
              </w:pBdr>
              <w:spacing w:after="60" w:line="240" w:lineRule="auto"/>
              <w:ind w:left="270" w:hanging="270"/>
              <w:rPr>
                <w:color w:val="000000"/>
                <w:sz w:val="21"/>
                <w:szCs w:val="21"/>
              </w:rPr>
            </w:pPr>
            <w:r>
              <w:rPr>
                <w:color w:val="000000"/>
                <w:sz w:val="21"/>
                <w:szCs w:val="21"/>
              </w:rPr>
              <w:t>Mejorar la gestión de residuos sólidos</w:t>
            </w:r>
          </w:p>
        </w:tc>
        <w:tc>
          <w:tcPr>
            <w:tcW w:w="5672" w:type="dxa"/>
          </w:tcPr>
          <w:p w14:paraId="36F8ACC4" w14:textId="77777777" w:rsidR="006F6CE3" w:rsidRDefault="00017497">
            <w:pPr>
              <w:numPr>
                <w:ilvl w:val="0"/>
                <w:numId w:val="6"/>
              </w:numPr>
              <w:spacing w:after="60" w:line="240" w:lineRule="auto"/>
              <w:ind w:left="252" w:hanging="180"/>
              <w:rPr>
                <w:color w:val="000000"/>
                <w:sz w:val="21"/>
                <w:szCs w:val="21"/>
              </w:rPr>
            </w:pPr>
            <w:r>
              <w:rPr>
                <w:color w:val="000000"/>
                <w:sz w:val="21"/>
                <w:szCs w:val="21"/>
              </w:rPr>
              <w:t>Kg, toneladas o % de residuos sólidos reducidos tratados localmente o recuperados</w:t>
            </w:r>
          </w:p>
        </w:tc>
      </w:tr>
      <w:tr w:rsidR="006F6CE3" w14:paraId="2D8F7923" w14:textId="77777777">
        <w:trPr>
          <w:trHeight w:val="759"/>
          <w:jc w:val="center"/>
        </w:trPr>
        <w:tc>
          <w:tcPr>
            <w:tcW w:w="4700" w:type="dxa"/>
          </w:tcPr>
          <w:p w14:paraId="4FE2D204" w14:textId="77777777" w:rsidR="006F6CE3" w:rsidRDefault="00017497">
            <w:pPr>
              <w:numPr>
                <w:ilvl w:val="0"/>
                <w:numId w:val="7"/>
              </w:numPr>
              <w:pBdr>
                <w:top w:val="nil"/>
                <w:left w:val="nil"/>
                <w:bottom w:val="nil"/>
                <w:right w:val="nil"/>
                <w:between w:val="nil"/>
              </w:pBdr>
              <w:spacing w:after="60" w:line="240" w:lineRule="auto"/>
              <w:ind w:left="270" w:hanging="270"/>
              <w:rPr>
                <w:color w:val="000000"/>
                <w:sz w:val="21"/>
                <w:szCs w:val="21"/>
              </w:rPr>
            </w:pPr>
            <w:r>
              <w:rPr>
                <w:color w:val="000000"/>
                <w:sz w:val="21"/>
                <w:szCs w:val="21"/>
              </w:rPr>
              <w:t>Disminuir la cantidad de contaminantes atmosféricos descargados (Calidad de aire o Efecto invernadero)</w:t>
            </w:r>
          </w:p>
        </w:tc>
        <w:tc>
          <w:tcPr>
            <w:tcW w:w="5672" w:type="dxa"/>
          </w:tcPr>
          <w:p w14:paraId="4B9FBF17" w14:textId="77777777" w:rsidR="006F6CE3" w:rsidRDefault="00017497">
            <w:pPr>
              <w:numPr>
                <w:ilvl w:val="0"/>
                <w:numId w:val="6"/>
              </w:numPr>
              <w:spacing w:after="60" w:line="240" w:lineRule="auto"/>
              <w:ind w:left="252" w:hanging="180"/>
              <w:rPr>
                <w:color w:val="000000"/>
                <w:sz w:val="21"/>
                <w:szCs w:val="21"/>
              </w:rPr>
            </w:pPr>
            <w:r>
              <w:rPr>
                <w:color w:val="000000"/>
                <w:sz w:val="21"/>
                <w:szCs w:val="21"/>
              </w:rPr>
              <w:t>Toneladas de CO</w:t>
            </w:r>
            <w:r>
              <w:rPr>
                <w:color w:val="000000"/>
                <w:sz w:val="21"/>
                <w:szCs w:val="21"/>
                <w:vertAlign w:val="subscript"/>
              </w:rPr>
              <w:t>2</w:t>
            </w:r>
            <w:r>
              <w:rPr>
                <w:color w:val="000000"/>
                <w:sz w:val="21"/>
                <w:szCs w:val="21"/>
              </w:rPr>
              <w:t>, CH</w:t>
            </w:r>
            <w:r>
              <w:rPr>
                <w:color w:val="000000"/>
                <w:sz w:val="21"/>
                <w:szCs w:val="21"/>
                <w:vertAlign w:val="subscript"/>
              </w:rPr>
              <w:t>4</w:t>
            </w:r>
            <w:r>
              <w:rPr>
                <w:color w:val="000000"/>
                <w:sz w:val="21"/>
                <w:szCs w:val="21"/>
              </w:rPr>
              <w:t>, O</w:t>
            </w:r>
            <w:r>
              <w:rPr>
                <w:color w:val="000000"/>
                <w:sz w:val="21"/>
                <w:szCs w:val="21"/>
                <w:vertAlign w:val="subscript"/>
              </w:rPr>
              <w:t>3</w:t>
            </w:r>
            <w:r>
              <w:rPr>
                <w:color w:val="000000"/>
                <w:sz w:val="21"/>
                <w:szCs w:val="21"/>
              </w:rPr>
              <w:t xml:space="preserve"> u otro contaminante invernadero reducidas al evitar emisiones directas o la degradación de bosques</w:t>
            </w:r>
          </w:p>
          <w:p w14:paraId="4A72B4D0" w14:textId="77777777" w:rsidR="006F6CE3" w:rsidRDefault="00017497">
            <w:pPr>
              <w:numPr>
                <w:ilvl w:val="0"/>
                <w:numId w:val="6"/>
              </w:numPr>
              <w:spacing w:after="60" w:line="240" w:lineRule="auto"/>
              <w:ind w:left="252" w:hanging="180"/>
              <w:rPr>
                <w:color w:val="000000"/>
                <w:sz w:val="21"/>
                <w:szCs w:val="21"/>
              </w:rPr>
            </w:pPr>
            <w:r>
              <w:rPr>
                <w:color w:val="000000"/>
                <w:sz w:val="21"/>
                <w:szCs w:val="21"/>
              </w:rPr>
              <w:t>Ppm de partículas finas redu</w:t>
            </w:r>
            <w:r>
              <w:rPr>
                <w:color w:val="000000"/>
                <w:sz w:val="21"/>
                <w:szCs w:val="21"/>
              </w:rPr>
              <w:t>cidas</w:t>
            </w:r>
          </w:p>
        </w:tc>
      </w:tr>
      <w:tr w:rsidR="006F6CE3" w14:paraId="7E255825" w14:textId="77777777">
        <w:trPr>
          <w:trHeight w:val="314"/>
          <w:jc w:val="center"/>
        </w:trPr>
        <w:tc>
          <w:tcPr>
            <w:tcW w:w="4700" w:type="dxa"/>
          </w:tcPr>
          <w:p w14:paraId="74270AEE" w14:textId="77777777" w:rsidR="006F6CE3" w:rsidRDefault="00017497">
            <w:pPr>
              <w:numPr>
                <w:ilvl w:val="0"/>
                <w:numId w:val="7"/>
              </w:numPr>
              <w:pBdr>
                <w:top w:val="nil"/>
                <w:left w:val="nil"/>
                <w:bottom w:val="nil"/>
                <w:right w:val="nil"/>
                <w:between w:val="nil"/>
              </w:pBdr>
              <w:spacing w:after="60" w:line="240" w:lineRule="auto"/>
              <w:ind w:left="270" w:hanging="270"/>
              <w:rPr>
                <w:color w:val="000000"/>
                <w:sz w:val="21"/>
                <w:szCs w:val="21"/>
              </w:rPr>
            </w:pPr>
            <w:r>
              <w:rPr>
                <w:color w:val="000000"/>
                <w:sz w:val="21"/>
                <w:szCs w:val="21"/>
              </w:rPr>
              <w:t>Disminuir el consumo neto de agua</w:t>
            </w:r>
          </w:p>
        </w:tc>
        <w:tc>
          <w:tcPr>
            <w:tcW w:w="5672" w:type="dxa"/>
          </w:tcPr>
          <w:p w14:paraId="18DB36C9" w14:textId="77777777" w:rsidR="006F6CE3" w:rsidRDefault="00017497">
            <w:pPr>
              <w:numPr>
                <w:ilvl w:val="0"/>
                <w:numId w:val="6"/>
              </w:numPr>
              <w:spacing w:after="60" w:line="240" w:lineRule="auto"/>
              <w:ind w:left="252" w:hanging="180"/>
              <w:rPr>
                <w:color w:val="000000"/>
                <w:sz w:val="21"/>
                <w:szCs w:val="21"/>
              </w:rPr>
            </w:pPr>
            <w:r>
              <w:rPr>
                <w:color w:val="000000"/>
                <w:sz w:val="21"/>
                <w:szCs w:val="21"/>
              </w:rPr>
              <w:t>Litros o métricos cúbicos de agua ahorrados</w:t>
            </w:r>
          </w:p>
          <w:p w14:paraId="2CD18D45" w14:textId="77777777" w:rsidR="006F6CE3" w:rsidRDefault="00017497">
            <w:pPr>
              <w:numPr>
                <w:ilvl w:val="0"/>
                <w:numId w:val="6"/>
              </w:numPr>
              <w:spacing w:after="60" w:line="240" w:lineRule="auto"/>
              <w:ind w:left="252" w:hanging="180"/>
              <w:rPr>
                <w:color w:val="000000"/>
                <w:sz w:val="21"/>
                <w:szCs w:val="21"/>
              </w:rPr>
            </w:pPr>
            <w:r>
              <w:rPr>
                <w:color w:val="000000"/>
                <w:sz w:val="21"/>
                <w:szCs w:val="21"/>
              </w:rPr>
              <w:t># de aparatos de consumo eficiente instalados en casas o empresas</w:t>
            </w:r>
          </w:p>
        </w:tc>
      </w:tr>
      <w:tr w:rsidR="006F6CE3" w14:paraId="66DE047C" w14:textId="77777777">
        <w:trPr>
          <w:trHeight w:val="791"/>
          <w:jc w:val="center"/>
        </w:trPr>
        <w:tc>
          <w:tcPr>
            <w:tcW w:w="4700" w:type="dxa"/>
          </w:tcPr>
          <w:p w14:paraId="79B3799A" w14:textId="77777777" w:rsidR="006F6CE3" w:rsidRDefault="00017497">
            <w:pPr>
              <w:numPr>
                <w:ilvl w:val="0"/>
                <w:numId w:val="7"/>
              </w:numPr>
              <w:pBdr>
                <w:top w:val="nil"/>
                <w:left w:val="nil"/>
                <w:bottom w:val="nil"/>
                <w:right w:val="nil"/>
                <w:between w:val="nil"/>
              </w:pBdr>
              <w:spacing w:after="0" w:line="240" w:lineRule="auto"/>
              <w:ind w:left="270" w:hanging="270"/>
              <w:rPr>
                <w:color w:val="000000"/>
                <w:sz w:val="21"/>
                <w:szCs w:val="21"/>
              </w:rPr>
            </w:pPr>
            <w:r>
              <w:rPr>
                <w:color w:val="000000"/>
                <w:sz w:val="21"/>
                <w:szCs w:val="21"/>
              </w:rPr>
              <w:t>Aumentar la producción y consumo de alimentos locales</w:t>
            </w:r>
          </w:p>
        </w:tc>
        <w:tc>
          <w:tcPr>
            <w:tcW w:w="5672" w:type="dxa"/>
          </w:tcPr>
          <w:p w14:paraId="754CF404" w14:textId="77777777" w:rsidR="006F6CE3" w:rsidRDefault="00017497">
            <w:pPr>
              <w:numPr>
                <w:ilvl w:val="0"/>
                <w:numId w:val="6"/>
              </w:numPr>
              <w:spacing w:after="0" w:line="240" w:lineRule="auto"/>
              <w:ind w:left="252" w:hanging="180"/>
              <w:rPr>
                <w:sz w:val="21"/>
                <w:szCs w:val="21"/>
              </w:rPr>
            </w:pPr>
            <w:r>
              <w:rPr>
                <w:sz w:val="21"/>
                <w:szCs w:val="21"/>
              </w:rPr>
              <w:t># de productores agrícolas que comercialicen sus productos a nivel local</w:t>
            </w:r>
          </w:p>
          <w:p w14:paraId="243A2D06" w14:textId="77777777" w:rsidR="006F6CE3" w:rsidRDefault="00017497">
            <w:pPr>
              <w:numPr>
                <w:ilvl w:val="0"/>
                <w:numId w:val="6"/>
              </w:numPr>
              <w:spacing w:after="0" w:line="240" w:lineRule="auto"/>
              <w:ind w:left="252" w:hanging="180"/>
              <w:rPr>
                <w:sz w:val="21"/>
                <w:szCs w:val="21"/>
              </w:rPr>
            </w:pPr>
            <w:r>
              <w:rPr>
                <w:sz w:val="21"/>
                <w:szCs w:val="21"/>
              </w:rPr>
              <w:t>Volumen de ventas a nivel local (representada en colones, # de pedidos/semana, Kg de alimento u otro indicador apropiado)</w:t>
            </w:r>
          </w:p>
        </w:tc>
      </w:tr>
      <w:tr w:rsidR="006F6CE3" w14:paraId="6E872FB0" w14:textId="77777777">
        <w:trPr>
          <w:trHeight w:val="791"/>
          <w:jc w:val="center"/>
        </w:trPr>
        <w:tc>
          <w:tcPr>
            <w:tcW w:w="4700" w:type="dxa"/>
          </w:tcPr>
          <w:p w14:paraId="6E5F09EC" w14:textId="77777777" w:rsidR="006F6CE3" w:rsidRDefault="00017497">
            <w:pPr>
              <w:numPr>
                <w:ilvl w:val="0"/>
                <w:numId w:val="7"/>
              </w:numPr>
              <w:pBdr>
                <w:top w:val="nil"/>
                <w:left w:val="nil"/>
                <w:bottom w:val="nil"/>
                <w:right w:val="nil"/>
                <w:between w:val="nil"/>
              </w:pBdr>
              <w:spacing w:after="0" w:line="240" w:lineRule="auto"/>
              <w:ind w:left="270" w:hanging="270"/>
              <w:rPr>
                <w:color w:val="000000"/>
                <w:sz w:val="21"/>
                <w:szCs w:val="21"/>
              </w:rPr>
            </w:pPr>
            <w:r>
              <w:rPr>
                <w:color w:val="000000"/>
                <w:sz w:val="21"/>
                <w:szCs w:val="21"/>
              </w:rPr>
              <w:t>Aumentar la capacidad técnica de organizaciones, gremios y comunidades de adaptarse a los riesgos generados por el cambio climático</w:t>
            </w:r>
          </w:p>
        </w:tc>
        <w:tc>
          <w:tcPr>
            <w:tcW w:w="5672" w:type="dxa"/>
          </w:tcPr>
          <w:p w14:paraId="4F0C8CC2" w14:textId="77777777" w:rsidR="006F6CE3" w:rsidRDefault="00017497">
            <w:pPr>
              <w:numPr>
                <w:ilvl w:val="0"/>
                <w:numId w:val="6"/>
              </w:numPr>
              <w:spacing w:after="0" w:line="240" w:lineRule="auto"/>
              <w:ind w:left="252" w:hanging="180"/>
              <w:rPr>
                <w:sz w:val="21"/>
                <w:szCs w:val="21"/>
              </w:rPr>
            </w:pPr>
            <w:r>
              <w:rPr>
                <w:sz w:val="21"/>
                <w:szCs w:val="21"/>
              </w:rPr>
              <w:t># de organizaciones, gremios o comunidades que generan información respecto a su vulnerabilidad y alternativas de adaptación</w:t>
            </w:r>
          </w:p>
          <w:p w14:paraId="2F80C937" w14:textId="77777777" w:rsidR="006F6CE3" w:rsidRDefault="00017497">
            <w:pPr>
              <w:numPr>
                <w:ilvl w:val="0"/>
                <w:numId w:val="6"/>
              </w:numPr>
              <w:spacing w:after="0" w:line="240" w:lineRule="auto"/>
              <w:ind w:left="252" w:hanging="180"/>
              <w:rPr>
                <w:sz w:val="21"/>
                <w:szCs w:val="21"/>
              </w:rPr>
            </w:pPr>
            <w:r>
              <w:rPr>
                <w:sz w:val="21"/>
                <w:szCs w:val="21"/>
              </w:rPr>
              <w:t># de acueductos comunitarios que implementan un plan de seguridad agua</w:t>
            </w:r>
          </w:p>
          <w:p w14:paraId="7AB41B8B" w14:textId="77777777" w:rsidR="006F6CE3" w:rsidRDefault="00017497">
            <w:pPr>
              <w:numPr>
                <w:ilvl w:val="0"/>
                <w:numId w:val="6"/>
              </w:numPr>
              <w:spacing w:after="0" w:line="240" w:lineRule="auto"/>
              <w:ind w:left="252" w:hanging="180"/>
              <w:rPr>
                <w:sz w:val="21"/>
                <w:szCs w:val="21"/>
              </w:rPr>
            </w:pPr>
            <w:r>
              <w:rPr>
                <w:sz w:val="21"/>
                <w:szCs w:val="21"/>
              </w:rPr>
              <w:t xml:space="preserve"># de zonas de recarga protegidas mediante acciones voluntarias </w:t>
            </w:r>
          </w:p>
          <w:p w14:paraId="6A919828" w14:textId="77777777" w:rsidR="006F6CE3" w:rsidRDefault="00017497">
            <w:pPr>
              <w:numPr>
                <w:ilvl w:val="0"/>
                <w:numId w:val="6"/>
              </w:numPr>
              <w:spacing w:after="0" w:line="240" w:lineRule="auto"/>
              <w:ind w:left="252" w:hanging="180"/>
              <w:rPr>
                <w:sz w:val="21"/>
                <w:szCs w:val="21"/>
              </w:rPr>
            </w:pPr>
            <w:r>
              <w:rPr>
                <w:sz w:val="21"/>
                <w:szCs w:val="21"/>
              </w:rPr>
              <w:t># de herramientas/tecnologías agrícolas implementadas que mejoran la capacidad de adaptar la producción local mientras c</w:t>
            </w:r>
            <w:r>
              <w:rPr>
                <w:sz w:val="21"/>
                <w:szCs w:val="21"/>
              </w:rPr>
              <w:t>onserva más los recursos naturales</w:t>
            </w:r>
          </w:p>
        </w:tc>
      </w:tr>
    </w:tbl>
    <w:p w14:paraId="533D6820" w14:textId="77777777" w:rsidR="006F6CE3" w:rsidRDefault="006F6CE3">
      <w:pPr>
        <w:pBdr>
          <w:top w:val="nil"/>
          <w:left w:val="nil"/>
          <w:bottom w:val="nil"/>
          <w:right w:val="nil"/>
          <w:between w:val="nil"/>
        </w:pBdr>
        <w:spacing w:after="0" w:line="240" w:lineRule="auto"/>
        <w:jc w:val="both"/>
        <w:rPr>
          <w:rFonts w:ascii="Courier New" w:eastAsia="Courier New" w:hAnsi="Courier New" w:cs="Courier New"/>
          <w:b/>
          <w:color w:val="000000"/>
          <w:sz w:val="20"/>
          <w:szCs w:val="20"/>
        </w:rPr>
      </w:pPr>
    </w:p>
    <w:p w14:paraId="75D070C2" w14:textId="77777777" w:rsidR="006F6CE3" w:rsidRDefault="00017497">
      <w:pPr>
        <w:pBdr>
          <w:top w:val="nil"/>
          <w:left w:val="nil"/>
          <w:bottom w:val="nil"/>
          <w:right w:val="nil"/>
          <w:between w:val="nil"/>
        </w:pBdr>
        <w:spacing w:after="120" w:line="240" w:lineRule="auto"/>
        <w:jc w:val="both"/>
        <w:rPr>
          <w:color w:val="000000"/>
        </w:rPr>
      </w:pPr>
      <w:r>
        <w:rPr>
          <w:b/>
          <w:color w:val="1F497D"/>
        </w:rPr>
        <w:t>Tipo de Financiamiento</w:t>
      </w:r>
      <w:r>
        <w:rPr>
          <w:color w:val="1F497D"/>
        </w:rPr>
        <w:t>.</w:t>
      </w:r>
      <w:r>
        <w:rPr>
          <w:color w:val="000000"/>
        </w:rPr>
        <w:t xml:space="preserve"> El FCM ofrece fondos no reembolsables a proyectos locales que cumplen el perfil adecuado. </w:t>
      </w:r>
    </w:p>
    <w:p w14:paraId="5882BA36" w14:textId="7337A8A1" w:rsidR="006F6CE3" w:rsidRDefault="00017497">
      <w:pPr>
        <w:pBdr>
          <w:top w:val="nil"/>
          <w:left w:val="nil"/>
          <w:bottom w:val="nil"/>
          <w:right w:val="nil"/>
          <w:between w:val="nil"/>
        </w:pBdr>
        <w:spacing w:after="120" w:line="240" w:lineRule="auto"/>
        <w:jc w:val="both"/>
        <w:rPr>
          <w:color w:val="000000"/>
        </w:rPr>
      </w:pPr>
      <w:r>
        <w:rPr>
          <w:b/>
          <w:color w:val="1F497D"/>
        </w:rPr>
        <w:t>Montos y Frecuencia</w:t>
      </w:r>
      <w:r>
        <w:rPr>
          <w:color w:val="000000"/>
        </w:rPr>
        <w:t>. El monto máximo a financiar para cada proyecto será definido cada año de acuerdo con el presupuesto disponible (20</w:t>
      </w:r>
      <w:r w:rsidR="003A45E0">
        <w:rPr>
          <w:color w:val="000000"/>
        </w:rPr>
        <w:t>21</w:t>
      </w:r>
      <w:r>
        <w:rPr>
          <w:color w:val="000000"/>
        </w:rPr>
        <w:t xml:space="preserve">: máximo $4,500). Los montos asignados a los proyectos serán en dólares estadounidenses. En el caso que el donatario prefiere ejecutar el </w:t>
      </w:r>
      <w:r>
        <w:rPr>
          <w:color w:val="000000"/>
        </w:rPr>
        <w:t>presupuesto en colones, se usará como referencia el tipo de cambio de la fecha en la que se desembolsan los fondos. Ningún proyecto puede recibir más de tres (3) donaciones en un periodo de cinco (5) años y no puede recibir más de una donación al mismo tie</w:t>
      </w:r>
      <w:r>
        <w:rPr>
          <w:color w:val="000000"/>
        </w:rPr>
        <w:t>mpo.</w:t>
      </w:r>
    </w:p>
    <w:p w14:paraId="2A2E8DA6" w14:textId="77777777" w:rsidR="006F6CE3" w:rsidRDefault="00017497">
      <w:pPr>
        <w:pBdr>
          <w:top w:val="nil"/>
          <w:left w:val="nil"/>
          <w:bottom w:val="nil"/>
          <w:right w:val="nil"/>
          <w:between w:val="nil"/>
        </w:pBdr>
        <w:spacing w:after="120" w:line="240" w:lineRule="auto"/>
        <w:jc w:val="both"/>
        <w:rPr>
          <w:color w:val="000000"/>
        </w:rPr>
      </w:pPr>
      <w:r>
        <w:rPr>
          <w:b/>
          <w:color w:val="1F497D"/>
        </w:rPr>
        <w:t>Usos Permisibles</w:t>
      </w:r>
      <w:r>
        <w:rPr>
          <w:color w:val="000000"/>
        </w:rPr>
        <w:t>. Los recursos del FCM pueden ser destinados a la adquisición de equipos, maquinaria, capacitaciones, asesoramiento, materiales, insumos, actividades y remuneraciones de recurso humano siempre y cuando no representen el fin meta del pr</w:t>
      </w:r>
      <w:r>
        <w:rPr>
          <w:color w:val="000000"/>
        </w:rPr>
        <w:t>oyecto.</w:t>
      </w:r>
    </w:p>
    <w:p w14:paraId="56FCDF96" w14:textId="77777777" w:rsidR="006F6CE3" w:rsidRDefault="00017497">
      <w:pPr>
        <w:pBdr>
          <w:top w:val="nil"/>
          <w:left w:val="nil"/>
          <w:bottom w:val="nil"/>
          <w:right w:val="nil"/>
          <w:between w:val="nil"/>
        </w:pBdr>
        <w:spacing w:after="120" w:line="240" w:lineRule="auto"/>
        <w:jc w:val="both"/>
        <w:rPr>
          <w:color w:val="000000"/>
        </w:rPr>
      </w:pPr>
      <w:r>
        <w:rPr>
          <w:b/>
          <w:color w:val="1F497D"/>
        </w:rPr>
        <w:t>Contrapartes</w:t>
      </w:r>
      <w:r>
        <w:rPr>
          <w:color w:val="000000"/>
        </w:rPr>
        <w:t>. Los solicitantes deben poner un monto equivalente o más a la contrapartida del FCM, sea en dinero efectivo o en bienes o servicios valorizados a precios de mercado. El monto máximo que pondrá el FCM por proyecto será definido cada año</w:t>
      </w:r>
      <w:r>
        <w:rPr>
          <w:color w:val="000000"/>
        </w:rPr>
        <w:t>. (</w:t>
      </w:r>
      <w:r>
        <w:rPr>
          <w:b/>
          <w:i/>
          <w:color w:val="000000"/>
        </w:rPr>
        <w:t>Ejemplo</w:t>
      </w:r>
      <w:r>
        <w:rPr>
          <w:color w:val="000000"/>
        </w:rPr>
        <w:t xml:space="preserve">: ‘Organización A’ tiene un proyecto que cuesta </w:t>
      </w:r>
      <w:r>
        <w:rPr>
          <w:color w:val="000000"/>
        </w:rPr>
        <w:lastRenderedPageBreak/>
        <w:t xml:space="preserve">$5,000 y el máximo disponible del FCM es $2,000. Así, el FCM solo pondría $2,000 y la organización solicitante tendría que poner $3,000 de sus propios recursos (en efectivo o en especie) o de otras </w:t>
      </w:r>
      <w:r>
        <w:rPr>
          <w:color w:val="000000"/>
        </w:rPr>
        <w:t>fuentes).</w:t>
      </w:r>
    </w:p>
    <w:p w14:paraId="3E1A65DE" w14:textId="77777777" w:rsidR="006F6CE3" w:rsidRDefault="00017497">
      <w:pPr>
        <w:pBdr>
          <w:top w:val="nil"/>
          <w:left w:val="nil"/>
          <w:bottom w:val="nil"/>
          <w:right w:val="nil"/>
          <w:between w:val="nil"/>
        </w:pBdr>
        <w:spacing w:after="120" w:line="240" w:lineRule="auto"/>
        <w:jc w:val="both"/>
        <w:rPr>
          <w:color w:val="000000"/>
        </w:rPr>
      </w:pPr>
      <w:r>
        <w:rPr>
          <w:b/>
          <w:color w:val="1F497D"/>
        </w:rPr>
        <w:t>Ámbito de Intervención</w:t>
      </w:r>
      <w:r>
        <w:rPr>
          <w:color w:val="000000"/>
        </w:rPr>
        <w:t xml:space="preserve">. Los proyectos que el FCM financiará mediante este fondo deben de estar ubicados en las comunidades de </w:t>
      </w:r>
      <w:r>
        <w:rPr>
          <w:b/>
          <w:color w:val="000000"/>
        </w:rPr>
        <w:t xml:space="preserve">Cabeceras, Cañitas, Cebadilla, Cerro Plano, </w:t>
      </w:r>
      <w:proofErr w:type="spellStart"/>
      <w:r>
        <w:rPr>
          <w:b/>
          <w:color w:val="000000"/>
        </w:rPr>
        <w:t>Guacimal</w:t>
      </w:r>
      <w:proofErr w:type="spellEnd"/>
      <w:r>
        <w:rPr>
          <w:b/>
          <w:color w:val="000000"/>
        </w:rPr>
        <w:t>, La Cruz, La Lindora, La Guaria, Las Nubes, Los Llanos, Los Olivos,</w:t>
      </w:r>
      <w:r>
        <w:rPr>
          <w:b/>
          <w:color w:val="000000"/>
        </w:rPr>
        <w:t xml:space="preserve"> Los Tornos, Monteverde, San Luis, Santa Elena y San Gerardo. </w:t>
      </w:r>
      <w:r>
        <w:rPr>
          <w:color w:val="000000"/>
        </w:rPr>
        <w:t xml:space="preserve">Se les dará prioridad a los proyectos ubicados en las comunidades del Distrito Municipal de Monteverde. </w:t>
      </w:r>
    </w:p>
    <w:p w14:paraId="15C2D077" w14:textId="77777777" w:rsidR="006F6CE3" w:rsidRDefault="00017497">
      <w:pPr>
        <w:pBdr>
          <w:top w:val="nil"/>
          <w:left w:val="nil"/>
          <w:bottom w:val="nil"/>
          <w:right w:val="nil"/>
          <w:between w:val="nil"/>
        </w:pBdr>
        <w:spacing w:after="120" w:line="240" w:lineRule="auto"/>
        <w:jc w:val="both"/>
        <w:rPr>
          <w:color w:val="000000"/>
        </w:rPr>
      </w:pPr>
      <w:r>
        <w:rPr>
          <w:b/>
          <w:color w:val="1F497D"/>
        </w:rPr>
        <w:t>Duración de Proyectos</w:t>
      </w:r>
      <w:r>
        <w:rPr>
          <w:color w:val="000000"/>
        </w:rPr>
        <w:t>. El FCM financiará proyectos por un tiempo máximo de 18 meses que s</w:t>
      </w:r>
      <w:r>
        <w:rPr>
          <w:color w:val="000000"/>
        </w:rPr>
        <w:t xml:space="preserve">e puede extender por razones justificadas.  </w:t>
      </w:r>
    </w:p>
    <w:p w14:paraId="6DC41E66" w14:textId="77777777" w:rsidR="006F6CE3" w:rsidRDefault="00017497">
      <w:pPr>
        <w:pBdr>
          <w:top w:val="nil"/>
          <w:left w:val="nil"/>
          <w:bottom w:val="nil"/>
          <w:right w:val="nil"/>
          <w:between w:val="nil"/>
        </w:pBdr>
        <w:spacing w:after="120" w:line="240" w:lineRule="auto"/>
        <w:jc w:val="both"/>
        <w:rPr>
          <w:color w:val="000000"/>
        </w:rPr>
      </w:pPr>
      <w:r>
        <w:rPr>
          <w:b/>
          <w:color w:val="1F497D"/>
        </w:rPr>
        <w:t>Selección de Proyectos</w:t>
      </w:r>
      <w:r>
        <w:rPr>
          <w:color w:val="000000"/>
        </w:rPr>
        <w:t>. Los proyectos serán seleccionados mediante un proceso competitivo organizado por el personal del FCM y un Comité Evaluador. El Comité Evaluador será integrado por cinco (5) personas – 2 r</w:t>
      </w:r>
      <w:r>
        <w:rPr>
          <w:color w:val="000000"/>
        </w:rPr>
        <w:t>epresentantes del FCM, 1 líder local,  1 representante del sector académico y 1 experto(a) en temas de conservación ambiental– y tendrá a su cargo la responsabilidad de: 1) determinar la elegibilidad general de propuestas; 2) evaluar las fortalezas y debil</w:t>
      </w:r>
      <w:r>
        <w:rPr>
          <w:color w:val="000000"/>
        </w:rPr>
        <w:t xml:space="preserve">idades del proyecto, el presupuesto y la entidad proponente; y 3) presentar los resultados de su evaluación a la Junta Directiva del FCM, incluyendo una lista de proyectos  en orden de puntaje. </w:t>
      </w:r>
    </w:p>
    <w:p w14:paraId="17CF1F9A" w14:textId="77777777" w:rsidR="006F6CE3" w:rsidRDefault="00017497">
      <w:pPr>
        <w:pBdr>
          <w:top w:val="nil"/>
          <w:left w:val="nil"/>
          <w:bottom w:val="nil"/>
          <w:right w:val="nil"/>
          <w:between w:val="nil"/>
        </w:pBdr>
        <w:spacing w:after="120" w:line="240" w:lineRule="auto"/>
        <w:jc w:val="both"/>
        <w:rPr>
          <w:color w:val="000000"/>
        </w:rPr>
      </w:pPr>
      <w:r>
        <w:rPr>
          <w:b/>
          <w:color w:val="1F497D"/>
        </w:rPr>
        <w:t>Desembolsos</w:t>
      </w:r>
      <w:r>
        <w:rPr>
          <w:color w:val="000000"/>
        </w:rPr>
        <w:t>. Los fondos serán desembolsados en partes según l</w:t>
      </w:r>
      <w:r>
        <w:rPr>
          <w:color w:val="000000"/>
        </w:rPr>
        <w:t>a negociación previa entre el FCM y el donatario. El donatario deberá haber presentado un informe de avance y un informe financiero para recibir desembolsos faltantes. Una vez presentado los informes de avance, el Comité de Seguimiento analizará el logro d</w:t>
      </w:r>
      <w:r>
        <w:rPr>
          <w:color w:val="000000"/>
        </w:rPr>
        <w:t xml:space="preserve">e los objetivos y el alcance de los mismos. </w:t>
      </w:r>
    </w:p>
    <w:p w14:paraId="7FFC03D3" w14:textId="77777777" w:rsidR="006F6CE3" w:rsidRDefault="00017497">
      <w:pPr>
        <w:pBdr>
          <w:top w:val="nil"/>
          <w:left w:val="nil"/>
          <w:bottom w:val="nil"/>
          <w:right w:val="nil"/>
          <w:between w:val="nil"/>
        </w:pBdr>
        <w:spacing w:after="0" w:line="240" w:lineRule="auto"/>
        <w:jc w:val="both"/>
        <w:rPr>
          <w:b/>
          <w:color w:val="1F497D"/>
        </w:rPr>
      </w:pPr>
      <w:r>
        <w:rPr>
          <w:b/>
          <w:color w:val="1F497D"/>
        </w:rPr>
        <w:t xml:space="preserve">Características de Proyectos Esperados. </w:t>
      </w:r>
      <w:r>
        <w:rPr>
          <w:color w:val="000000"/>
        </w:rPr>
        <w:t>El FCM financia proyectos de varios tipos, incluyendo proyectos de planificación participativa, investigación aplicada, desarrollo organizacional, capacitación, demostración de una nueva tecnología, y ampliación de una tecnología comprobada, entre otros. S</w:t>
      </w:r>
      <w:r>
        <w:rPr>
          <w:color w:val="000000"/>
        </w:rPr>
        <w:t>in embargo, todos los proyectos deben:</w:t>
      </w:r>
    </w:p>
    <w:p w14:paraId="022BAE4A" w14:textId="77777777" w:rsidR="006F6CE3" w:rsidRDefault="00017497">
      <w:pPr>
        <w:numPr>
          <w:ilvl w:val="0"/>
          <w:numId w:val="1"/>
        </w:numPr>
        <w:spacing w:after="0"/>
        <w:rPr>
          <w:color w:val="000000"/>
        </w:rPr>
      </w:pPr>
      <w:r>
        <w:rPr>
          <w:color w:val="000000"/>
        </w:rPr>
        <w:t>Atender directamente a una problemática local claramente identificada;</w:t>
      </w:r>
    </w:p>
    <w:p w14:paraId="60CA1171" w14:textId="77777777" w:rsidR="006F6CE3" w:rsidRDefault="00017497">
      <w:pPr>
        <w:numPr>
          <w:ilvl w:val="0"/>
          <w:numId w:val="1"/>
        </w:numPr>
        <w:spacing w:after="0"/>
        <w:rPr>
          <w:color w:val="000000"/>
        </w:rPr>
      </w:pPr>
      <w:r>
        <w:rPr>
          <w:color w:val="000000"/>
        </w:rPr>
        <w:t>Demonstrar factibilidad;</w:t>
      </w:r>
    </w:p>
    <w:p w14:paraId="430BFD9C" w14:textId="77777777" w:rsidR="006F6CE3" w:rsidRDefault="00017497">
      <w:pPr>
        <w:numPr>
          <w:ilvl w:val="0"/>
          <w:numId w:val="1"/>
        </w:numPr>
        <w:spacing w:after="0"/>
        <w:rPr>
          <w:color w:val="000000"/>
        </w:rPr>
      </w:pPr>
      <w:r>
        <w:rPr>
          <w:color w:val="000000"/>
        </w:rPr>
        <w:t>Fomentar la participación directa de los beneficiarios durante el desarrollo, ejecución y evaluación del proyecto;</w:t>
      </w:r>
    </w:p>
    <w:p w14:paraId="3E0D272F" w14:textId="77777777" w:rsidR="006F6CE3" w:rsidRDefault="00017497">
      <w:pPr>
        <w:numPr>
          <w:ilvl w:val="0"/>
          <w:numId w:val="1"/>
        </w:numPr>
        <w:spacing w:after="0"/>
        <w:rPr>
          <w:color w:val="000000"/>
        </w:rPr>
      </w:pPr>
      <w:r>
        <w:rPr>
          <w:color w:val="000000"/>
        </w:rPr>
        <w:t>Mostra</w:t>
      </w:r>
      <w:r>
        <w:rPr>
          <w:color w:val="000000"/>
        </w:rPr>
        <w:t>r el impacto de las acciones realizadas y presupuesto ejecutado;</w:t>
      </w:r>
    </w:p>
    <w:p w14:paraId="19A503ED" w14:textId="77777777" w:rsidR="006F6CE3" w:rsidRDefault="00017497">
      <w:pPr>
        <w:numPr>
          <w:ilvl w:val="0"/>
          <w:numId w:val="1"/>
        </w:numPr>
        <w:spacing w:after="0"/>
        <w:rPr>
          <w:color w:val="000000"/>
        </w:rPr>
      </w:pPr>
      <w:r>
        <w:rPr>
          <w:color w:val="000000"/>
        </w:rPr>
        <w:t>Tener el potencial de ser sostenidos en el tiempo o ser replicados en el futuro; y</w:t>
      </w:r>
    </w:p>
    <w:p w14:paraId="6A946A5F" w14:textId="77777777" w:rsidR="006F6CE3" w:rsidRDefault="00017497">
      <w:pPr>
        <w:numPr>
          <w:ilvl w:val="0"/>
          <w:numId w:val="1"/>
        </w:numPr>
        <w:spacing w:after="120"/>
        <w:rPr>
          <w:color w:val="000000"/>
        </w:rPr>
      </w:pPr>
      <w:r>
        <w:rPr>
          <w:color w:val="000000"/>
        </w:rPr>
        <w:t>Incluir un elemento de gestión de conocimiento y divulgación pública en el plan de trabajo.</w:t>
      </w:r>
    </w:p>
    <w:p w14:paraId="5AC19F18" w14:textId="77777777" w:rsidR="006F6CE3" w:rsidRDefault="00017497">
      <w:pPr>
        <w:pBdr>
          <w:top w:val="nil"/>
          <w:left w:val="nil"/>
          <w:bottom w:val="nil"/>
          <w:right w:val="nil"/>
          <w:between w:val="nil"/>
        </w:pBdr>
        <w:spacing w:after="120" w:line="240" w:lineRule="auto"/>
        <w:jc w:val="both"/>
        <w:rPr>
          <w:color w:val="000000"/>
        </w:rPr>
      </w:pPr>
      <w:r>
        <w:rPr>
          <w:color w:val="000000"/>
        </w:rPr>
        <w:t xml:space="preserve">Se les dará preferencia a proyectos que: </w:t>
      </w:r>
    </w:p>
    <w:p w14:paraId="51013ABA" w14:textId="77777777" w:rsidR="006F6CE3" w:rsidRDefault="00017497">
      <w:pPr>
        <w:numPr>
          <w:ilvl w:val="0"/>
          <w:numId w:val="1"/>
        </w:numPr>
        <w:spacing w:after="0"/>
        <w:rPr>
          <w:color w:val="000000"/>
        </w:rPr>
      </w:pPr>
      <w:r>
        <w:rPr>
          <w:color w:val="000000"/>
        </w:rPr>
        <w:t>Propone soluciones innovadoras a la problemática identificada;</w:t>
      </w:r>
    </w:p>
    <w:p w14:paraId="3736D7B3" w14:textId="77777777" w:rsidR="006F6CE3" w:rsidRDefault="00017497">
      <w:pPr>
        <w:numPr>
          <w:ilvl w:val="0"/>
          <w:numId w:val="1"/>
        </w:numPr>
        <w:spacing w:after="0"/>
        <w:rPr>
          <w:color w:val="000000"/>
        </w:rPr>
      </w:pPr>
      <w:r>
        <w:rPr>
          <w:color w:val="000000"/>
        </w:rPr>
        <w:t>Cuenten con alianzas con organizaciones sin fines de lucro,</w:t>
      </w:r>
      <w:r>
        <w:rPr>
          <w:color w:val="000000"/>
        </w:rPr>
        <w:t xml:space="preserve"> instituciones académicas o instituciones gubernamentales;</w:t>
      </w:r>
    </w:p>
    <w:p w14:paraId="4DFDB79B" w14:textId="77777777" w:rsidR="006F6CE3" w:rsidRDefault="00017497">
      <w:pPr>
        <w:numPr>
          <w:ilvl w:val="0"/>
          <w:numId w:val="1"/>
        </w:numPr>
        <w:spacing w:after="0"/>
        <w:rPr>
          <w:color w:val="000000"/>
        </w:rPr>
      </w:pPr>
      <w:r>
        <w:rPr>
          <w:color w:val="000000"/>
        </w:rPr>
        <w:t>Incluyen procesos de fortalecimiento tanto para los ejecutores como para los beneficiarios; y</w:t>
      </w:r>
    </w:p>
    <w:p w14:paraId="19799D63" w14:textId="77777777" w:rsidR="006F6CE3" w:rsidRDefault="00017497">
      <w:pPr>
        <w:numPr>
          <w:ilvl w:val="0"/>
          <w:numId w:val="1"/>
        </w:numPr>
        <w:spacing w:after="120"/>
        <w:rPr>
          <w:color w:val="000000"/>
        </w:rPr>
      </w:pPr>
      <w:r>
        <w:rPr>
          <w:color w:val="000000"/>
        </w:rPr>
        <w:t xml:space="preserve">Están orientados a beneficiar sectores de la población tradicionalmente marginados. </w:t>
      </w:r>
    </w:p>
    <w:p w14:paraId="69979DE7" w14:textId="77777777" w:rsidR="006F6CE3" w:rsidRDefault="00017497">
      <w:pPr>
        <w:pBdr>
          <w:top w:val="nil"/>
          <w:left w:val="nil"/>
          <w:bottom w:val="nil"/>
          <w:right w:val="nil"/>
          <w:between w:val="nil"/>
        </w:pBdr>
        <w:spacing w:after="120" w:line="240" w:lineRule="auto"/>
        <w:jc w:val="both"/>
        <w:rPr>
          <w:color w:val="000000"/>
        </w:rPr>
      </w:pPr>
      <w:r>
        <w:rPr>
          <w:color w:val="000000"/>
        </w:rPr>
        <w:t>Proyectos de media</w:t>
      </w:r>
      <w:r>
        <w:rPr>
          <w:color w:val="000000"/>
        </w:rPr>
        <w:t>no y largo plazo pueden ser presentados en etapas. Sin embargo, se debe especificar desde el principio un plan de acciones para el proceso completo y su impacto anticipado.</w:t>
      </w:r>
    </w:p>
    <w:p w14:paraId="789196EF" w14:textId="77777777" w:rsidR="006F6CE3" w:rsidRDefault="00017497">
      <w:pPr>
        <w:pBdr>
          <w:top w:val="nil"/>
          <w:left w:val="nil"/>
          <w:bottom w:val="nil"/>
          <w:right w:val="nil"/>
          <w:between w:val="nil"/>
        </w:pBdr>
        <w:spacing w:after="0" w:line="240" w:lineRule="auto"/>
        <w:jc w:val="both"/>
        <w:rPr>
          <w:b/>
          <w:color w:val="1F497D"/>
        </w:rPr>
      </w:pPr>
      <w:r>
        <w:rPr>
          <w:b/>
          <w:color w:val="1F497D"/>
        </w:rPr>
        <w:lastRenderedPageBreak/>
        <w:t xml:space="preserve">Restricciones. </w:t>
      </w:r>
      <w:r>
        <w:rPr>
          <w:b/>
          <w:color w:val="000000"/>
        </w:rPr>
        <w:t>NO</w:t>
      </w:r>
      <w:r>
        <w:rPr>
          <w:color w:val="000000"/>
        </w:rPr>
        <w:t> pueden recibir donaciones del FCM mediante el PDP:</w:t>
      </w:r>
    </w:p>
    <w:p w14:paraId="04583DDF" w14:textId="77777777" w:rsidR="006F6CE3" w:rsidRDefault="00017497">
      <w:pPr>
        <w:numPr>
          <w:ilvl w:val="0"/>
          <w:numId w:val="1"/>
        </w:numPr>
        <w:spacing w:after="0"/>
        <w:rPr>
          <w:color w:val="000000"/>
        </w:rPr>
      </w:pPr>
      <w:r>
        <w:rPr>
          <w:color w:val="000000"/>
        </w:rPr>
        <w:t>las propuestas</w:t>
      </w:r>
      <w:r>
        <w:rPr>
          <w:color w:val="000000"/>
        </w:rPr>
        <w:t xml:space="preserve"> presentadas o dirigidas por entidades gubernamentales;</w:t>
      </w:r>
    </w:p>
    <w:p w14:paraId="484A4EFB" w14:textId="77777777" w:rsidR="006F6CE3" w:rsidRDefault="00017497">
      <w:pPr>
        <w:numPr>
          <w:ilvl w:val="0"/>
          <w:numId w:val="1"/>
        </w:numPr>
        <w:spacing w:after="0"/>
        <w:rPr>
          <w:color w:val="000000"/>
        </w:rPr>
      </w:pPr>
      <w:r>
        <w:rPr>
          <w:color w:val="000000"/>
        </w:rPr>
        <w:t>las propuestas presentadas por individuos o por empresas con fines de lucro;</w:t>
      </w:r>
    </w:p>
    <w:p w14:paraId="65C4CB26" w14:textId="77777777" w:rsidR="006F6CE3" w:rsidRDefault="00017497">
      <w:pPr>
        <w:numPr>
          <w:ilvl w:val="0"/>
          <w:numId w:val="1"/>
        </w:numPr>
        <w:spacing w:after="0"/>
        <w:rPr>
          <w:color w:val="000000"/>
        </w:rPr>
      </w:pPr>
      <w:r>
        <w:rPr>
          <w:color w:val="000000"/>
        </w:rPr>
        <w:t>las propuestas presentadas por grupos que no contribuyen recursos financieros ni en especie a las actividades propuestas;</w:t>
      </w:r>
    </w:p>
    <w:p w14:paraId="49B25416" w14:textId="77777777" w:rsidR="006F6CE3" w:rsidRDefault="00017497">
      <w:pPr>
        <w:numPr>
          <w:ilvl w:val="0"/>
          <w:numId w:val="1"/>
        </w:numPr>
        <w:spacing w:after="0"/>
        <w:rPr>
          <w:color w:val="000000"/>
        </w:rPr>
      </w:pPr>
      <w:r>
        <w:rPr>
          <w:color w:val="000000"/>
        </w:rPr>
        <w:t>l</w:t>
      </w:r>
      <w:r>
        <w:rPr>
          <w:color w:val="000000"/>
        </w:rPr>
        <w:t>as propuestas relacionadas con partidos políticos o movimientos partidistas;</w:t>
      </w:r>
    </w:p>
    <w:p w14:paraId="59509D51" w14:textId="77777777" w:rsidR="006F6CE3" w:rsidRDefault="00017497">
      <w:pPr>
        <w:numPr>
          <w:ilvl w:val="0"/>
          <w:numId w:val="1"/>
        </w:numPr>
        <w:spacing w:after="0"/>
        <w:rPr>
          <w:color w:val="000000"/>
        </w:rPr>
      </w:pPr>
      <w:r>
        <w:rPr>
          <w:color w:val="000000"/>
        </w:rPr>
        <w:t>las actividades puramente religiosas o sectarias;</w:t>
      </w:r>
    </w:p>
    <w:p w14:paraId="04B017A7" w14:textId="77777777" w:rsidR="006F6CE3" w:rsidRDefault="00017497">
      <w:pPr>
        <w:numPr>
          <w:ilvl w:val="0"/>
          <w:numId w:val="1"/>
        </w:numPr>
        <w:spacing w:after="0"/>
        <w:rPr>
          <w:color w:val="000000"/>
        </w:rPr>
      </w:pPr>
      <w:r>
        <w:rPr>
          <w:color w:val="000000"/>
        </w:rPr>
        <w:t>la investigación pura;</w:t>
      </w:r>
    </w:p>
    <w:p w14:paraId="7288125E" w14:textId="77777777" w:rsidR="006F6CE3" w:rsidRDefault="00017497">
      <w:pPr>
        <w:numPr>
          <w:ilvl w:val="0"/>
          <w:numId w:val="1"/>
        </w:numPr>
        <w:spacing w:after="0"/>
        <w:rPr>
          <w:color w:val="000000"/>
        </w:rPr>
      </w:pPr>
      <w:r>
        <w:rPr>
          <w:color w:val="000000"/>
        </w:rPr>
        <w:t>los proyectos de asistencia social de cualquier tipo;</w:t>
      </w:r>
    </w:p>
    <w:p w14:paraId="6935A2E5" w14:textId="77777777" w:rsidR="006F6CE3" w:rsidRDefault="00017497">
      <w:pPr>
        <w:numPr>
          <w:ilvl w:val="0"/>
          <w:numId w:val="1"/>
        </w:numPr>
        <w:spacing w:after="0"/>
        <w:rPr>
          <w:color w:val="000000"/>
        </w:rPr>
      </w:pPr>
      <w:r>
        <w:rPr>
          <w:color w:val="000000"/>
        </w:rPr>
        <w:t>los proyectos que corresponden directamente al gobierno local o nacional;</w:t>
      </w:r>
    </w:p>
    <w:p w14:paraId="49B72A0B" w14:textId="77777777" w:rsidR="006F6CE3" w:rsidRDefault="00017497">
      <w:pPr>
        <w:numPr>
          <w:ilvl w:val="0"/>
          <w:numId w:val="1"/>
        </w:numPr>
        <w:spacing w:after="0"/>
        <w:rPr>
          <w:color w:val="000000"/>
        </w:rPr>
      </w:pPr>
      <w:r>
        <w:rPr>
          <w:color w:val="000000"/>
        </w:rPr>
        <w:t>las solicitudes de donaciones superiores al monto máximo definido para este fondo; o</w:t>
      </w:r>
    </w:p>
    <w:p w14:paraId="12D4D5B2" w14:textId="77777777" w:rsidR="006F6CE3" w:rsidRDefault="00017497">
      <w:pPr>
        <w:numPr>
          <w:ilvl w:val="0"/>
          <w:numId w:val="1"/>
        </w:numPr>
        <w:spacing w:after="120"/>
        <w:rPr>
          <w:color w:val="000000"/>
        </w:rPr>
      </w:pPr>
      <w:r>
        <w:rPr>
          <w:color w:val="000000"/>
        </w:rPr>
        <w:t>los proyectos cuyos objetivos no estimulan una capacidad compartida de autoayuda.</w:t>
      </w:r>
    </w:p>
    <w:p w14:paraId="0A16BE25" w14:textId="77777777" w:rsidR="006F6CE3" w:rsidRDefault="00017497">
      <w:pPr>
        <w:pBdr>
          <w:top w:val="nil"/>
          <w:left w:val="nil"/>
          <w:bottom w:val="nil"/>
          <w:right w:val="nil"/>
          <w:between w:val="nil"/>
        </w:pBdr>
        <w:spacing w:after="0" w:line="240" w:lineRule="auto"/>
        <w:jc w:val="both"/>
        <w:rPr>
          <w:b/>
          <w:color w:val="1F497D"/>
        </w:rPr>
      </w:pPr>
      <w:r>
        <w:rPr>
          <w:b/>
          <w:color w:val="1F497D"/>
        </w:rPr>
        <w:t>Disposiciones Complementarias.</w:t>
      </w:r>
    </w:p>
    <w:p w14:paraId="258958ED" w14:textId="77777777" w:rsidR="006F6CE3" w:rsidRDefault="00017497">
      <w:pPr>
        <w:numPr>
          <w:ilvl w:val="0"/>
          <w:numId w:val="4"/>
        </w:numPr>
        <w:spacing w:after="0"/>
        <w:jc w:val="both"/>
        <w:rPr>
          <w:color w:val="000000"/>
        </w:rPr>
      </w:pPr>
      <w:r>
        <w:rPr>
          <w:color w:val="000000"/>
        </w:rPr>
        <w:t xml:space="preserve">Las instituciones concursantes deberán presentar la Propuesta de Proyecto debidamente lleno. </w:t>
      </w:r>
    </w:p>
    <w:p w14:paraId="21253A84" w14:textId="77777777" w:rsidR="006F6CE3" w:rsidRDefault="00017497">
      <w:pPr>
        <w:numPr>
          <w:ilvl w:val="0"/>
          <w:numId w:val="4"/>
        </w:numPr>
        <w:spacing w:after="0"/>
        <w:jc w:val="both"/>
        <w:rPr>
          <w:color w:val="000000"/>
        </w:rPr>
      </w:pPr>
      <w:r>
        <w:rPr>
          <w:color w:val="000000"/>
        </w:rPr>
        <w:t>El personal del FCM podrá realizar una visita a l</w:t>
      </w:r>
      <w:r>
        <w:rPr>
          <w:color w:val="000000"/>
        </w:rPr>
        <w:t>os lugares de ejecución del proyecto o solicitar mayor información de la entidad solicitante.</w:t>
      </w:r>
    </w:p>
    <w:p w14:paraId="2C429932" w14:textId="77777777" w:rsidR="006F6CE3" w:rsidRDefault="00017497">
      <w:pPr>
        <w:numPr>
          <w:ilvl w:val="0"/>
          <w:numId w:val="4"/>
        </w:numPr>
        <w:spacing w:after="0"/>
        <w:jc w:val="both"/>
        <w:rPr>
          <w:color w:val="000000"/>
        </w:rPr>
      </w:pPr>
      <w:r>
        <w:rPr>
          <w:color w:val="000000"/>
        </w:rPr>
        <w:t>Se reserva el derecho de negociar con las instituciones u organizaciones ganadoras del concurso un monto menor al solicitado y/o la reasignación de las partidas p</w:t>
      </w:r>
      <w:r>
        <w:rPr>
          <w:color w:val="000000"/>
        </w:rPr>
        <w:t>resupuestarias.</w:t>
      </w:r>
    </w:p>
    <w:p w14:paraId="11FBD255" w14:textId="77777777" w:rsidR="006F6CE3" w:rsidRDefault="00017497">
      <w:pPr>
        <w:numPr>
          <w:ilvl w:val="0"/>
          <w:numId w:val="4"/>
        </w:numPr>
        <w:spacing w:after="0"/>
        <w:jc w:val="both"/>
        <w:rPr>
          <w:color w:val="000000"/>
        </w:rPr>
      </w:pPr>
      <w:r>
        <w:rPr>
          <w:color w:val="000000"/>
        </w:rPr>
        <w:t xml:space="preserve">La periodicidad de desembolso de los fondos será establecida en el convenio respectivo. </w:t>
      </w:r>
    </w:p>
    <w:p w14:paraId="04C0BF14" w14:textId="7077503E" w:rsidR="006F6CE3" w:rsidRDefault="00017497">
      <w:pPr>
        <w:numPr>
          <w:ilvl w:val="0"/>
          <w:numId w:val="4"/>
        </w:numPr>
        <w:spacing w:after="0"/>
        <w:jc w:val="both"/>
        <w:rPr>
          <w:color w:val="000000"/>
        </w:rPr>
      </w:pPr>
      <w:r>
        <w:rPr>
          <w:color w:val="000000"/>
        </w:rPr>
        <w:t xml:space="preserve">En casos donde </w:t>
      </w:r>
      <w:r w:rsidR="003A45E0">
        <w:rPr>
          <w:color w:val="000000"/>
        </w:rPr>
        <w:t>los donatarios no cuentan</w:t>
      </w:r>
      <w:r>
        <w:rPr>
          <w:color w:val="000000"/>
        </w:rPr>
        <w:t xml:space="preserve"> con personería jurídica, se puede depositar los fondos en una cuenta abierta exclusivamente para los fines del </w:t>
      </w:r>
      <w:r>
        <w:rPr>
          <w:color w:val="000000"/>
        </w:rPr>
        <w:t>proyecto. La cuenta debe ser en nombre de 2 representantes del proyecto quienes no tienen relación familiar (sanguínea o civil).</w:t>
      </w:r>
    </w:p>
    <w:p w14:paraId="716F1E95" w14:textId="77777777" w:rsidR="006F6CE3" w:rsidRDefault="00017497">
      <w:pPr>
        <w:numPr>
          <w:ilvl w:val="0"/>
          <w:numId w:val="4"/>
        </w:numPr>
        <w:spacing w:after="0"/>
        <w:jc w:val="both"/>
        <w:rPr>
          <w:color w:val="000000"/>
        </w:rPr>
      </w:pPr>
      <w:r>
        <w:t>En caso de que no se logren adjudicar todos los recursos del FCM en la primera convocatoria, el FCM podrá lanzar una nueva invi</w:t>
      </w:r>
      <w:r>
        <w:t>tación, o los fondos podrán ser acumulados para una próxima convocatoria.</w:t>
      </w:r>
    </w:p>
    <w:p w14:paraId="4EF51C6F" w14:textId="77777777" w:rsidR="006F6CE3" w:rsidRDefault="00017497">
      <w:pPr>
        <w:numPr>
          <w:ilvl w:val="0"/>
          <w:numId w:val="4"/>
        </w:numPr>
        <w:spacing w:after="0"/>
        <w:jc w:val="both"/>
        <w:rPr>
          <w:color w:val="000000"/>
        </w:rPr>
      </w:pPr>
      <w:r>
        <w:rPr>
          <w:color w:val="000000"/>
        </w:rPr>
        <w:t>Para la firma del convenio respectivo, la entidad ganadora deberá presentar los siguientes documentos: </w:t>
      </w:r>
    </w:p>
    <w:p w14:paraId="2C50B427" w14:textId="77777777" w:rsidR="006F6CE3" w:rsidRDefault="00017497">
      <w:pPr>
        <w:numPr>
          <w:ilvl w:val="1"/>
          <w:numId w:val="4"/>
        </w:numPr>
        <w:spacing w:after="0"/>
        <w:jc w:val="both"/>
        <w:rPr>
          <w:color w:val="000000"/>
        </w:rPr>
      </w:pPr>
      <w:r>
        <w:rPr>
          <w:color w:val="000000"/>
        </w:rPr>
        <w:t xml:space="preserve">Versión final del proyecto, que incluya las recomendaciones realizadas por el </w:t>
      </w:r>
      <w:r>
        <w:rPr>
          <w:color w:val="000000"/>
        </w:rPr>
        <w:t xml:space="preserve">Comité Evaluador. Dichas recomendaciones deberán ser incorporadas en el mismo documento del proyecto (es decir, se presentará la versión final corregida); la demás información y documentación solicitada se adjuntará como anexos.  </w:t>
      </w:r>
    </w:p>
    <w:p w14:paraId="2F1C103D" w14:textId="77777777" w:rsidR="006F6CE3" w:rsidRDefault="00017497">
      <w:pPr>
        <w:numPr>
          <w:ilvl w:val="1"/>
          <w:numId w:val="4"/>
        </w:numPr>
        <w:spacing w:after="0"/>
        <w:jc w:val="both"/>
        <w:rPr>
          <w:color w:val="000000"/>
        </w:rPr>
      </w:pPr>
      <w:r>
        <w:rPr>
          <w:color w:val="000000"/>
        </w:rPr>
        <w:t>La entidad ganadora, debe</w:t>
      </w:r>
      <w:r>
        <w:rPr>
          <w:color w:val="000000"/>
        </w:rPr>
        <w:t>rán presentar toda la documentación indicada en el numeral anterior, en el plazo de 30 días calendario, contados a partir de la fecha en que el FCM le notifica su condición de ganadora, adjuntándole las observaciones y recomendaciones respectivas.  En caso</w:t>
      </w:r>
      <w:r>
        <w:rPr>
          <w:color w:val="000000"/>
        </w:rPr>
        <w:t xml:space="preserve"> contrario, la entidad podría perder el derecho al financiamiento de su propuesta. </w:t>
      </w:r>
    </w:p>
    <w:p w14:paraId="62A7C65B" w14:textId="77777777" w:rsidR="006F6CE3" w:rsidRDefault="00017497">
      <w:pPr>
        <w:numPr>
          <w:ilvl w:val="0"/>
          <w:numId w:val="4"/>
        </w:numPr>
        <w:jc w:val="both"/>
      </w:pPr>
      <w:bookmarkStart w:id="0" w:name="_heading=h.gjdgxs" w:colFirst="0" w:colLast="0"/>
      <w:bookmarkEnd w:id="0"/>
      <w:r>
        <w:rPr>
          <w:color w:val="000000"/>
        </w:rPr>
        <w:t xml:space="preserve">Los lineamientos de este programa y los fondos disponibles por otorgar son sujetos a modificaciones cada año. </w:t>
      </w:r>
    </w:p>
    <w:sectPr w:rsidR="006F6CE3">
      <w:headerReference w:type="default" r:id="rId9"/>
      <w:footerReference w:type="even" r:id="rId10"/>
      <w:footerReference w:type="default" r:id="rId11"/>
      <w:pgSz w:w="12240" w:h="15840"/>
      <w:pgMar w:top="1440" w:right="1440" w:bottom="1440" w:left="1440" w:header="360" w:footer="551"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F3A193" w14:textId="77777777" w:rsidR="00017497" w:rsidRDefault="00017497">
      <w:pPr>
        <w:spacing w:after="0" w:line="240" w:lineRule="auto"/>
      </w:pPr>
      <w:r>
        <w:separator/>
      </w:r>
    </w:p>
  </w:endnote>
  <w:endnote w:type="continuationSeparator" w:id="0">
    <w:p w14:paraId="776D9823" w14:textId="77777777" w:rsidR="00017497" w:rsidRDefault="000174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Libre Franklin">
    <w:charset w:val="00"/>
    <w:family w:val="auto"/>
    <w:pitch w:val="default"/>
  </w:font>
  <w:font w:name="Gentium Basic">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A27E28" w14:textId="77777777" w:rsidR="006F6CE3" w:rsidRDefault="00017497">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14:paraId="4DCE95AE" w14:textId="77777777" w:rsidR="006F6CE3" w:rsidRDefault="006F6CE3">
    <w:pPr>
      <w:pBdr>
        <w:top w:val="nil"/>
        <w:left w:val="nil"/>
        <w:bottom w:val="nil"/>
        <w:right w:val="nil"/>
        <w:between w:val="nil"/>
      </w:pBdr>
      <w:tabs>
        <w:tab w:val="center" w:pos="4680"/>
        <w:tab w:val="right" w:pos="9360"/>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F40D27" w14:textId="77777777" w:rsidR="006F6CE3" w:rsidRDefault="00017497">
    <w:pPr>
      <w:pBdr>
        <w:top w:val="nil"/>
        <w:left w:val="nil"/>
        <w:bottom w:val="nil"/>
        <w:right w:val="nil"/>
        <w:between w:val="nil"/>
      </w:pBdr>
      <w:spacing w:after="0" w:line="240" w:lineRule="auto"/>
      <w:jc w:val="center"/>
      <w:rPr>
        <w:rFonts w:ascii="Libre Franklin" w:eastAsia="Libre Franklin" w:hAnsi="Libre Franklin" w:cs="Libre Franklin"/>
        <w:color w:val="000000"/>
        <w:sz w:val="20"/>
        <w:szCs w:val="20"/>
      </w:rPr>
    </w:pPr>
    <w:r>
      <w:pict w14:anchorId="24E6B33A">
        <v:rect id="_x0000_i1026" style="width:0;height:1.5pt" o:hralign="center" o:hrstd="t" o:hr="t" fillcolor="#a0a0a0" stroked="f"/>
      </w:pict>
    </w:r>
  </w:p>
  <w:p w14:paraId="44A933EF" w14:textId="77777777" w:rsidR="006F6CE3" w:rsidRDefault="006F6CE3">
    <w:pPr>
      <w:pBdr>
        <w:top w:val="nil"/>
        <w:left w:val="nil"/>
        <w:bottom w:val="nil"/>
        <w:right w:val="nil"/>
        <w:between w:val="nil"/>
      </w:pBdr>
      <w:spacing w:after="0" w:line="240" w:lineRule="auto"/>
      <w:jc w:val="center"/>
      <w:rPr>
        <w:rFonts w:ascii="Libre Franklin" w:eastAsia="Libre Franklin" w:hAnsi="Libre Franklin" w:cs="Libre Franklin"/>
        <w:color w:val="000000"/>
        <w:sz w:val="12"/>
        <w:szCs w:val="12"/>
      </w:rPr>
    </w:pPr>
  </w:p>
  <w:p w14:paraId="2A3A3C74" w14:textId="77777777" w:rsidR="006F6CE3" w:rsidRDefault="00017497">
    <w:pPr>
      <w:pBdr>
        <w:top w:val="nil"/>
        <w:left w:val="nil"/>
        <w:bottom w:val="nil"/>
        <w:right w:val="nil"/>
        <w:between w:val="nil"/>
      </w:pBdr>
      <w:spacing w:after="0" w:line="240" w:lineRule="auto"/>
      <w:jc w:val="center"/>
      <w:rPr>
        <w:rFonts w:ascii="Gentium Basic" w:eastAsia="Gentium Basic" w:hAnsi="Gentium Basic" w:cs="Gentium Basic"/>
        <w:color w:val="000000"/>
        <w:sz w:val="20"/>
        <w:szCs w:val="20"/>
      </w:rPr>
    </w:pPr>
    <w:r>
      <w:rPr>
        <w:rFonts w:ascii="Gentium Basic" w:eastAsia="Gentium Basic" w:hAnsi="Gentium Basic" w:cs="Gentium Basic"/>
        <w:color w:val="000000"/>
        <w:sz w:val="20"/>
        <w:szCs w:val="20"/>
      </w:rPr>
      <w:t>Monteverde, Puntarenas, Costa Rica</w:t>
    </w:r>
  </w:p>
  <w:p w14:paraId="172E05CF" w14:textId="77777777" w:rsidR="006F6CE3" w:rsidRDefault="00017497">
    <w:pPr>
      <w:spacing w:after="0" w:line="240" w:lineRule="auto"/>
      <w:jc w:val="center"/>
      <w:rPr>
        <w:rFonts w:ascii="Gentium Basic" w:eastAsia="Gentium Basic" w:hAnsi="Gentium Basic" w:cs="Gentium Basic"/>
        <w:sz w:val="20"/>
        <w:szCs w:val="20"/>
      </w:rPr>
    </w:pPr>
    <w:r>
      <w:rPr>
        <w:rFonts w:ascii="Gentium Basic" w:eastAsia="Gentium Basic" w:hAnsi="Gentium Basic" w:cs="Gentium Basic"/>
        <w:sz w:val="20"/>
        <w:szCs w:val="20"/>
      </w:rPr>
      <w:t xml:space="preserve">Teléfono: (506) 2645-6967; Skype: </w:t>
    </w:r>
    <w:proofErr w:type="spellStart"/>
    <w:proofErr w:type="gramStart"/>
    <w:r>
      <w:rPr>
        <w:rFonts w:ascii="Gentium Basic" w:eastAsia="Gentium Basic" w:hAnsi="Gentium Basic" w:cs="Gentium Basic"/>
        <w:sz w:val="20"/>
        <w:szCs w:val="20"/>
      </w:rPr>
      <w:t>Monteverde.Community.Fund</w:t>
    </w:r>
    <w:proofErr w:type="spellEnd"/>
    <w:proofErr w:type="gramEnd"/>
    <w:r>
      <w:rPr>
        <w:rFonts w:ascii="Gentium Basic" w:eastAsia="Gentium Basic" w:hAnsi="Gentium Basic" w:cs="Gentium Basic"/>
        <w:sz w:val="20"/>
        <w:szCs w:val="20"/>
      </w:rPr>
      <w:t>; E-mail: info@monteverdefund.org</w:t>
    </w:r>
  </w:p>
  <w:p w14:paraId="5BA19D9B" w14:textId="77777777" w:rsidR="006F6CE3" w:rsidRDefault="00017497">
    <w:pPr>
      <w:spacing w:after="0" w:line="240" w:lineRule="auto"/>
      <w:jc w:val="center"/>
      <w:rPr>
        <w:i/>
        <w:sz w:val="20"/>
        <w:szCs w:val="20"/>
      </w:rPr>
    </w:pPr>
    <w:r>
      <w:rPr>
        <w:rFonts w:ascii="Gentium Basic" w:eastAsia="Gentium Basic" w:hAnsi="Gentium Basic" w:cs="Gentium Basic"/>
        <w:sz w:val="20"/>
        <w:szCs w:val="20"/>
      </w:rPr>
      <w:t xml:space="preserve">www.monteverdefund.org </w:t>
    </w:r>
    <w:r>
      <w:rPr>
        <w:rFonts w:ascii="Gentium Basic" w:eastAsia="Gentium Basic" w:hAnsi="Gentium Basic" w:cs="Gentium Basic"/>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27084D" w14:textId="77777777" w:rsidR="00017497" w:rsidRDefault="00017497">
      <w:pPr>
        <w:spacing w:after="0" w:line="240" w:lineRule="auto"/>
      </w:pPr>
      <w:r>
        <w:separator/>
      </w:r>
    </w:p>
  </w:footnote>
  <w:footnote w:type="continuationSeparator" w:id="0">
    <w:p w14:paraId="6F8FF28C" w14:textId="77777777" w:rsidR="00017497" w:rsidRDefault="000174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FD0CD7" w14:textId="77777777" w:rsidR="006F6CE3" w:rsidRDefault="00017497">
    <w:pPr>
      <w:pBdr>
        <w:top w:val="nil"/>
        <w:left w:val="nil"/>
        <w:bottom w:val="nil"/>
        <w:right w:val="nil"/>
        <w:between w:val="nil"/>
      </w:pBdr>
      <w:spacing w:after="0" w:line="240" w:lineRule="auto"/>
      <w:jc w:val="center"/>
      <w:rPr>
        <w:rFonts w:ascii="Libre Franklin" w:eastAsia="Libre Franklin" w:hAnsi="Libre Franklin" w:cs="Libre Franklin"/>
        <w:color w:val="000000"/>
        <w:sz w:val="20"/>
        <w:szCs w:val="20"/>
      </w:rPr>
    </w:pPr>
    <w:r>
      <w:rPr>
        <w:rFonts w:ascii="Libre Franklin" w:eastAsia="Libre Franklin" w:hAnsi="Libre Franklin" w:cs="Libre Franklin"/>
        <w:noProof/>
        <w:color w:val="000000"/>
        <w:sz w:val="20"/>
        <w:szCs w:val="20"/>
      </w:rPr>
      <w:drawing>
        <wp:inline distT="0" distB="0" distL="0" distR="0" wp14:anchorId="56C669EA" wp14:editId="14DA1818">
          <wp:extent cx="1943708" cy="824945"/>
          <wp:effectExtent l="0" t="0" r="0" b="0"/>
          <wp:docPr id="24" name="image2.png" descr="logo horizontal letra negra español"/>
          <wp:cNvGraphicFramePr/>
          <a:graphic xmlns:a="http://schemas.openxmlformats.org/drawingml/2006/main">
            <a:graphicData uri="http://schemas.openxmlformats.org/drawingml/2006/picture">
              <pic:pic xmlns:pic="http://schemas.openxmlformats.org/drawingml/2006/picture">
                <pic:nvPicPr>
                  <pic:cNvPr id="0" name="image2.png" descr="logo horizontal letra negra español"/>
                  <pic:cNvPicPr preferRelativeResize="0"/>
                </pic:nvPicPr>
                <pic:blipFill>
                  <a:blip r:embed="rId1"/>
                  <a:srcRect t="5464" b="9289"/>
                  <a:stretch>
                    <a:fillRect/>
                  </a:stretch>
                </pic:blipFill>
                <pic:spPr>
                  <a:xfrm>
                    <a:off x="0" y="0"/>
                    <a:ext cx="1943708" cy="824945"/>
                  </a:xfrm>
                  <a:prstGeom prst="rect">
                    <a:avLst/>
                  </a:prstGeom>
                  <a:ln/>
                </pic:spPr>
              </pic:pic>
            </a:graphicData>
          </a:graphic>
        </wp:inline>
      </w:drawing>
    </w:r>
  </w:p>
  <w:p w14:paraId="28E24363" w14:textId="77777777" w:rsidR="006F6CE3" w:rsidRDefault="00017497">
    <w:pPr>
      <w:pBdr>
        <w:top w:val="nil"/>
        <w:left w:val="nil"/>
        <w:bottom w:val="nil"/>
        <w:right w:val="nil"/>
        <w:between w:val="nil"/>
      </w:pBdr>
      <w:spacing w:after="0" w:line="240" w:lineRule="auto"/>
      <w:rPr>
        <w:rFonts w:ascii="Libre Franklin" w:eastAsia="Libre Franklin" w:hAnsi="Libre Franklin" w:cs="Libre Franklin"/>
        <w:color w:val="000000"/>
        <w:sz w:val="20"/>
        <w:szCs w:val="20"/>
      </w:rPr>
    </w:pPr>
    <w:r>
      <w:pict w14:anchorId="0DDAFB48">
        <v:rect id="_x0000_i1025" style="width:0;height:1.5pt" o:hralign="center" o:hrstd="t" o:hr="t" fillcolor="#a0a0a0" stroked="f"/>
      </w:pict>
    </w:r>
  </w:p>
  <w:p w14:paraId="0B3FF80C" w14:textId="77777777" w:rsidR="006F6CE3" w:rsidRDefault="006F6CE3">
    <w:pPr>
      <w:pBdr>
        <w:top w:val="nil"/>
        <w:left w:val="nil"/>
        <w:bottom w:val="nil"/>
        <w:right w:val="nil"/>
        <w:between w:val="nil"/>
      </w:pBdr>
      <w:spacing w:after="0" w:line="240" w:lineRule="auto"/>
      <w:rPr>
        <w:rFonts w:ascii="Libre Franklin" w:eastAsia="Libre Franklin" w:hAnsi="Libre Franklin" w:cs="Libre Franklin"/>
        <w:color w:val="000000"/>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AC125D"/>
    <w:multiLevelType w:val="multilevel"/>
    <w:tmpl w:val="6F2679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D5543EB"/>
    <w:multiLevelType w:val="multilevel"/>
    <w:tmpl w:val="A81607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E6A53C0"/>
    <w:multiLevelType w:val="multilevel"/>
    <w:tmpl w:val="593CD7D6"/>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3422517"/>
    <w:multiLevelType w:val="multilevel"/>
    <w:tmpl w:val="37AE94C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AC859C7"/>
    <w:multiLevelType w:val="multilevel"/>
    <w:tmpl w:val="DCB6BDC2"/>
    <w:lvl w:ilvl="0">
      <w:start w:val="1"/>
      <w:numFmt w:val="bullet"/>
      <w:lvlText w:val="●"/>
      <w:lvlJc w:val="left"/>
      <w:pPr>
        <w:ind w:left="720" w:hanging="360"/>
      </w:pPr>
      <w:rPr>
        <w:rFonts w:ascii="Noto Sans Symbols" w:eastAsia="Noto Sans Symbols" w:hAnsi="Noto Sans Symbols" w:cs="Noto Sans Symbols"/>
        <w:color w:val="1F497D"/>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F151BFD"/>
    <w:multiLevelType w:val="multilevel"/>
    <w:tmpl w:val="F1B2EEE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5619484F"/>
    <w:multiLevelType w:val="multilevel"/>
    <w:tmpl w:val="A2C268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5"/>
  </w:num>
  <w:num w:numId="2">
    <w:abstractNumId w:val="1"/>
  </w:num>
  <w:num w:numId="3">
    <w:abstractNumId w:val="0"/>
  </w:num>
  <w:num w:numId="4">
    <w:abstractNumId w:val="2"/>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6CE3"/>
    <w:rsid w:val="00017497"/>
    <w:rsid w:val="003A45E0"/>
    <w:rsid w:val="006F6CE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781872"/>
  <w15:docId w15:val="{A67C226C-A332-4A4B-B933-27CB1371F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s-CR"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AB66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semiHidden/>
    <w:unhideWhenUsed/>
    <w:qFormat/>
    <w:rsid w:val="006039D3"/>
    <w:pPr>
      <w:spacing w:before="100" w:beforeAutospacing="1" w:after="100" w:afterAutospacing="1" w:line="240" w:lineRule="auto"/>
      <w:outlineLvl w:val="1"/>
    </w:pPr>
    <w:rPr>
      <w:rFonts w:ascii="Times New Roman" w:eastAsia="Times New Roman" w:hAnsi="Times New Roman"/>
      <w:b/>
      <w:bCs/>
      <w:sz w:val="36"/>
      <w:szCs w:val="36"/>
    </w:rPr>
  </w:style>
  <w:style w:type="paragraph" w:styleId="Ttulo3">
    <w:name w:val="heading 3"/>
    <w:basedOn w:val="Normal"/>
    <w:next w:val="Normal"/>
    <w:link w:val="Ttulo3Car"/>
    <w:uiPriority w:val="9"/>
    <w:semiHidden/>
    <w:unhideWhenUsed/>
    <w:qFormat/>
    <w:rsid w:val="00AB66A8"/>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AB66A8"/>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203AA9"/>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790F9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790F94"/>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link w:val="TtuloCar"/>
    <w:uiPriority w:val="10"/>
    <w:qFormat/>
    <w:rsid w:val="00AB66A8"/>
    <w:pPr>
      <w:spacing w:after="0" w:line="240" w:lineRule="auto"/>
      <w:jc w:val="center"/>
    </w:pPr>
    <w:rPr>
      <w:rFonts w:ascii="Arial" w:eastAsia="Times New Roman" w:hAnsi="Arial" w:cs="Arial"/>
      <w:b/>
      <w:bCs/>
      <w:sz w:val="20"/>
      <w:szCs w:val="24"/>
      <w:lang w:val="es-ES" w:eastAsia="es-ES"/>
    </w:rPr>
  </w:style>
  <w:style w:type="paragraph" w:styleId="Encabezado">
    <w:name w:val="header"/>
    <w:basedOn w:val="Normal"/>
    <w:link w:val="EncabezadoCar"/>
    <w:uiPriority w:val="99"/>
    <w:unhideWhenUsed/>
    <w:rsid w:val="00875522"/>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875522"/>
  </w:style>
  <w:style w:type="paragraph" w:styleId="Piedepgina">
    <w:name w:val="footer"/>
    <w:basedOn w:val="Normal"/>
    <w:link w:val="PiedepginaCar"/>
    <w:uiPriority w:val="99"/>
    <w:unhideWhenUsed/>
    <w:rsid w:val="00875522"/>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875522"/>
  </w:style>
  <w:style w:type="paragraph" w:styleId="Textodeglobo">
    <w:name w:val="Balloon Text"/>
    <w:basedOn w:val="Normal"/>
    <w:link w:val="TextodegloboCar"/>
    <w:uiPriority w:val="99"/>
    <w:semiHidden/>
    <w:unhideWhenUsed/>
    <w:rsid w:val="00875522"/>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875522"/>
    <w:rPr>
      <w:rFonts w:ascii="Tahoma" w:hAnsi="Tahoma" w:cs="Tahoma"/>
      <w:sz w:val="16"/>
      <w:szCs w:val="16"/>
    </w:rPr>
  </w:style>
  <w:style w:type="paragraph" w:customStyle="1" w:styleId="Default">
    <w:name w:val="Default"/>
    <w:rsid w:val="00875522"/>
    <w:pPr>
      <w:autoSpaceDE w:val="0"/>
      <w:autoSpaceDN w:val="0"/>
      <w:adjustRightInd w:val="0"/>
    </w:pPr>
    <w:rPr>
      <w:rFonts w:ascii="Arial Black" w:hAnsi="Arial Black" w:cs="Arial Black"/>
      <w:color w:val="000000"/>
      <w:sz w:val="24"/>
      <w:szCs w:val="24"/>
    </w:rPr>
  </w:style>
  <w:style w:type="character" w:styleId="Textoennegrita">
    <w:name w:val="Strong"/>
    <w:uiPriority w:val="22"/>
    <w:qFormat/>
    <w:rsid w:val="00C54572"/>
    <w:rPr>
      <w:b/>
      <w:bCs/>
    </w:rPr>
  </w:style>
  <w:style w:type="character" w:styleId="Hipervnculo">
    <w:name w:val="Hyperlink"/>
    <w:rsid w:val="00575B2B"/>
    <w:rPr>
      <w:color w:val="0000FF"/>
      <w:u w:val="single"/>
    </w:rPr>
  </w:style>
  <w:style w:type="paragraph" w:styleId="Prrafodelista">
    <w:name w:val="List Paragraph"/>
    <w:basedOn w:val="Normal"/>
    <w:uiPriority w:val="34"/>
    <w:qFormat/>
    <w:rsid w:val="00575B2B"/>
    <w:pPr>
      <w:autoSpaceDE w:val="0"/>
      <w:autoSpaceDN w:val="0"/>
      <w:adjustRightInd w:val="0"/>
      <w:spacing w:after="0" w:line="240" w:lineRule="auto"/>
      <w:ind w:left="708"/>
    </w:pPr>
    <w:rPr>
      <w:rFonts w:ascii="Arial" w:eastAsia="Times New Roman" w:hAnsi="Arial"/>
      <w:sz w:val="24"/>
      <w:szCs w:val="24"/>
      <w:lang w:eastAsia="en-AU"/>
    </w:rPr>
  </w:style>
  <w:style w:type="paragraph" w:styleId="Sinespaciado">
    <w:name w:val="No Spacing"/>
    <w:link w:val="SinespaciadoCar"/>
    <w:uiPriority w:val="1"/>
    <w:qFormat/>
    <w:rsid w:val="00FE53F1"/>
    <w:rPr>
      <w:rFonts w:cs="Arial"/>
      <w:lang w:eastAsia="ja-JP"/>
    </w:rPr>
  </w:style>
  <w:style w:type="character" w:customStyle="1" w:styleId="SinespaciadoCar">
    <w:name w:val="Sin espaciado Car"/>
    <w:link w:val="Sinespaciado"/>
    <w:uiPriority w:val="1"/>
    <w:rsid w:val="00FE53F1"/>
    <w:rPr>
      <w:rFonts w:eastAsia="MS Mincho" w:cs="Arial"/>
      <w:sz w:val="22"/>
      <w:szCs w:val="22"/>
      <w:lang w:eastAsia="ja-JP"/>
    </w:rPr>
  </w:style>
  <w:style w:type="character" w:customStyle="1" w:styleId="Ttulo2Car">
    <w:name w:val="Título 2 Car"/>
    <w:basedOn w:val="Fuentedeprrafopredeter"/>
    <w:link w:val="Ttulo2"/>
    <w:uiPriority w:val="9"/>
    <w:rsid w:val="006039D3"/>
    <w:rPr>
      <w:rFonts w:ascii="Times New Roman" w:eastAsia="Times New Roman" w:hAnsi="Times New Roman"/>
      <w:b/>
      <w:bCs/>
      <w:sz w:val="36"/>
      <w:szCs w:val="36"/>
    </w:rPr>
  </w:style>
  <w:style w:type="paragraph" w:styleId="NormalWeb">
    <w:name w:val="Normal (Web)"/>
    <w:basedOn w:val="Normal"/>
    <w:uiPriority w:val="99"/>
    <w:unhideWhenUsed/>
    <w:rsid w:val="006039D3"/>
    <w:pPr>
      <w:spacing w:before="100" w:beforeAutospacing="1" w:after="100" w:afterAutospacing="1" w:line="240" w:lineRule="auto"/>
    </w:pPr>
    <w:rPr>
      <w:rFonts w:ascii="Times New Roman" w:eastAsia="Times New Roman" w:hAnsi="Times New Roman"/>
      <w:sz w:val="24"/>
      <w:szCs w:val="24"/>
    </w:rPr>
  </w:style>
  <w:style w:type="paragraph" w:styleId="Textosinformato">
    <w:name w:val="Plain Text"/>
    <w:basedOn w:val="Normal"/>
    <w:link w:val="TextosinformatoCar"/>
    <w:uiPriority w:val="99"/>
    <w:rsid w:val="002912AB"/>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uiPriority w:val="99"/>
    <w:rsid w:val="002912AB"/>
    <w:rPr>
      <w:rFonts w:ascii="Courier New" w:eastAsia="Times New Roman" w:hAnsi="Courier New" w:cs="Courier New"/>
      <w:lang w:val="es-ES" w:eastAsia="es-ES"/>
    </w:rPr>
  </w:style>
  <w:style w:type="paragraph" w:styleId="Textoindependiente">
    <w:name w:val="Body Text"/>
    <w:basedOn w:val="Normal"/>
    <w:link w:val="TextoindependienteCar"/>
    <w:uiPriority w:val="99"/>
    <w:rsid w:val="002912AB"/>
    <w:pPr>
      <w:spacing w:after="0" w:line="240" w:lineRule="auto"/>
      <w:jc w:val="both"/>
    </w:pPr>
    <w:rPr>
      <w:rFonts w:ascii="Times New Roman" w:eastAsia="Times New Roman" w:hAnsi="Times New Roman"/>
      <w:sz w:val="32"/>
      <w:szCs w:val="20"/>
    </w:rPr>
  </w:style>
  <w:style w:type="character" w:customStyle="1" w:styleId="TextoindependienteCar">
    <w:name w:val="Texto independiente Car"/>
    <w:basedOn w:val="Fuentedeprrafopredeter"/>
    <w:link w:val="Textoindependiente"/>
    <w:uiPriority w:val="99"/>
    <w:rsid w:val="002912AB"/>
    <w:rPr>
      <w:rFonts w:ascii="Times New Roman" w:eastAsia="Times New Roman" w:hAnsi="Times New Roman"/>
      <w:sz w:val="32"/>
    </w:rPr>
  </w:style>
  <w:style w:type="character" w:customStyle="1" w:styleId="Ttulo1Car">
    <w:name w:val="Título 1 Car"/>
    <w:basedOn w:val="Fuentedeprrafopredeter"/>
    <w:link w:val="Ttulo1"/>
    <w:uiPriority w:val="9"/>
    <w:rsid w:val="00AB66A8"/>
    <w:rPr>
      <w:rFonts w:asciiTheme="majorHAnsi" w:eastAsiaTheme="majorEastAsia" w:hAnsiTheme="majorHAnsi" w:cstheme="majorBidi"/>
      <w:b/>
      <w:bCs/>
      <w:color w:val="365F91" w:themeColor="accent1" w:themeShade="BF"/>
      <w:sz w:val="28"/>
      <w:szCs w:val="28"/>
    </w:rPr>
  </w:style>
  <w:style w:type="character" w:customStyle="1" w:styleId="Ttulo3Car">
    <w:name w:val="Título 3 Car"/>
    <w:basedOn w:val="Fuentedeprrafopredeter"/>
    <w:link w:val="Ttulo3"/>
    <w:uiPriority w:val="9"/>
    <w:semiHidden/>
    <w:rsid w:val="00AB66A8"/>
    <w:rPr>
      <w:rFonts w:asciiTheme="majorHAnsi" w:eastAsiaTheme="majorEastAsia" w:hAnsiTheme="majorHAnsi" w:cstheme="majorBidi"/>
      <w:b/>
      <w:bCs/>
      <w:color w:val="4F81BD" w:themeColor="accent1"/>
      <w:sz w:val="22"/>
      <w:szCs w:val="22"/>
    </w:rPr>
  </w:style>
  <w:style w:type="character" w:customStyle="1" w:styleId="Ttulo4Car">
    <w:name w:val="Título 4 Car"/>
    <w:basedOn w:val="Fuentedeprrafopredeter"/>
    <w:link w:val="Ttulo4"/>
    <w:uiPriority w:val="9"/>
    <w:semiHidden/>
    <w:rsid w:val="00AB66A8"/>
    <w:rPr>
      <w:rFonts w:asciiTheme="majorHAnsi" w:eastAsiaTheme="majorEastAsia" w:hAnsiTheme="majorHAnsi" w:cstheme="majorBidi"/>
      <w:b/>
      <w:bCs/>
      <w:i/>
      <w:iCs/>
      <w:color w:val="4F81BD" w:themeColor="accent1"/>
      <w:sz w:val="22"/>
      <w:szCs w:val="22"/>
    </w:rPr>
  </w:style>
  <w:style w:type="character" w:customStyle="1" w:styleId="TtuloCar">
    <w:name w:val="Título Car"/>
    <w:basedOn w:val="Fuentedeprrafopredeter"/>
    <w:link w:val="Ttulo"/>
    <w:uiPriority w:val="99"/>
    <w:rsid w:val="00AB66A8"/>
    <w:rPr>
      <w:rFonts w:ascii="Arial" w:eastAsia="Times New Roman" w:hAnsi="Arial" w:cs="Arial"/>
      <w:b/>
      <w:bCs/>
      <w:szCs w:val="24"/>
      <w:lang w:val="es-ES" w:eastAsia="es-ES"/>
    </w:rPr>
  </w:style>
  <w:style w:type="paragraph" w:styleId="Subttulo">
    <w:name w:val="Subtitle"/>
    <w:basedOn w:val="Normal"/>
    <w:next w:val="Normal"/>
    <w:link w:val="SubttuloCar"/>
    <w:uiPriority w:val="11"/>
    <w:qFormat/>
    <w:pPr>
      <w:spacing w:after="0" w:line="240" w:lineRule="auto"/>
      <w:jc w:val="center"/>
    </w:pPr>
    <w:rPr>
      <w:rFonts w:ascii="Arial Narrow" w:eastAsia="Arial Narrow" w:hAnsi="Arial Narrow" w:cs="Arial Narrow"/>
      <w:b/>
      <w:sz w:val="14"/>
      <w:szCs w:val="14"/>
    </w:rPr>
  </w:style>
  <w:style w:type="character" w:customStyle="1" w:styleId="SubttuloCar">
    <w:name w:val="Subtítulo Car"/>
    <w:basedOn w:val="Fuentedeprrafopredeter"/>
    <w:link w:val="Subttulo"/>
    <w:uiPriority w:val="99"/>
    <w:rsid w:val="00AB66A8"/>
    <w:rPr>
      <w:rFonts w:ascii="Arial Narrow" w:eastAsia="Times New Roman" w:hAnsi="Arial Narrow" w:cs="Arial"/>
      <w:b/>
      <w:bCs/>
      <w:sz w:val="14"/>
      <w:szCs w:val="24"/>
      <w:lang w:val="es-ES" w:eastAsia="es-ES"/>
    </w:rPr>
  </w:style>
  <w:style w:type="table" w:styleId="Tablaconcuadrcula">
    <w:name w:val="Table Grid"/>
    <w:basedOn w:val="Tablanormal"/>
    <w:uiPriority w:val="59"/>
    <w:rsid w:val="002667DB"/>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76359E"/>
  </w:style>
  <w:style w:type="character" w:customStyle="1" w:styleId="Ttulo6Car">
    <w:name w:val="Título 6 Car"/>
    <w:basedOn w:val="Fuentedeprrafopredeter"/>
    <w:link w:val="Ttulo6"/>
    <w:uiPriority w:val="9"/>
    <w:semiHidden/>
    <w:rsid w:val="00790F94"/>
    <w:rPr>
      <w:rFonts w:asciiTheme="majorHAnsi" w:eastAsiaTheme="majorEastAsia" w:hAnsiTheme="majorHAnsi" w:cstheme="majorBidi"/>
      <w:i/>
      <w:iCs/>
      <w:color w:val="243F60" w:themeColor="accent1" w:themeShade="7F"/>
      <w:sz w:val="22"/>
      <w:szCs w:val="22"/>
    </w:rPr>
  </w:style>
  <w:style w:type="character" w:customStyle="1" w:styleId="Ttulo7Car">
    <w:name w:val="Título 7 Car"/>
    <w:basedOn w:val="Fuentedeprrafopredeter"/>
    <w:link w:val="Ttulo7"/>
    <w:uiPriority w:val="9"/>
    <w:semiHidden/>
    <w:rsid w:val="00790F94"/>
    <w:rPr>
      <w:rFonts w:asciiTheme="majorHAnsi" w:eastAsiaTheme="majorEastAsia" w:hAnsiTheme="majorHAnsi" w:cstheme="majorBidi"/>
      <w:i/>
      <w:iCs/>
      <w:color w:val="404040" w:themeColor="text1" w:themeTint="BF"/>
      <w:sz w:val="22"/>
      <w:szCs w:val="22"/>
    </w:rPr>
  </w:style>
  <w:style w:type="paragraph" w:styleId="Textoindependiente2">
    <w:name w:val="Body Text 2"/>
    <w:basedOn w:val="Normal"/>
    <w:link w:val="Textoindependiente2Car"/>
    <w:uiPriority w:val="99"/>
    <w:semiHidden/>
    <w:unhideWhenUsed/>
    <w:rsid w:val="00790F94"/>
    <w:pPr>
      <w:spacing w:after="120" w:line="480" w:lineRule="auto"/>
    </w:pPr>
  </w:style>
  <w:style w:type="character" w:customStyle="1" w:styleId="Textoindependiente2Car">
    <w:name w:val="Texto independiente 2 Car"/>
    <w:basedOn w:val="Fuentedeprrafopredeter"/>
    <w:link w:val="Textoindependiente2"/>
    <w:uiPriority w:val="99"/>
    <w:semiHidden/>
    <w:rsid w:val="00790F94"/>
    <w:rPr>
      <w:sz w:val="22"/>
      <w:szCs w:val="22"/>
    </w:rPr>
  </w:style>
  <w:style w:type="character" w:styleId="Refdenotaalpie">
    <w:name w:val="footnote reference"/>
    <w:rsid w:val="00790F94"/>
    <w:rPr>
      <w:vertAlign w:val="superscript"/>
    </w:rPr>
  </w:style>
  <w:style w:type="paragraph" w:styleId="Textonotapie">
    <w:name w:val="footnote text"/>
    <w:basedOn w:val="Normal"/>
    <w:link w:val="TextonotapieCar"/>
    <w:uiPriority w:val="99"/>
    <w:rsid w:val="00790F94"/>
    <w:pPr>
      <w:spacing w:after="0" w:line="240" w:lineRule="auto"/>
    </w:pPr>
    <w:rPr>
      <w:rFonts w:ascii="Times New Roman" w:eastAsia="Times New Roman" w:hAnsi="Times New Roman"/>
      <w:sz w:val="20"/>
      <w:szCs w:val="20"/>
      <w:lang w:eastAsia="es-ES"/>
    </w:rPr>
  </w:style>
  <w:style w:type="character" w:customStyle="1" w:styleId="TextonotapieCar">
    <w:name w:val="Texto nota pie Car"/>
    <w:basedOn w:val="Fuentedeprrafopredeter"/>
    <w:link w:val="Textonotapie"/>
    <w:uiPriority w:val="99"/>
    <w:rsid w:val="00790F94"/>
    <w:rPr>
      <w:rFonts w:ascii="Times New Roman" w:eastAsia="Times New Roman" w:hAnsi="Times New Roman"/>
      <w:lang w:eastAsia="es-ES"/>
    </w:rPr>
  </w:style>
  <w:style w:type="character" w:styleId="Nmerodepgina">
    <w:name w:val="page number"/>
    <w:basedOn w:val="Fuentedeprrafopredeter"/>
    <w:rsid w:val="00790F94"/>
  </w:style>
  <w:style w:type="character" w:customStyle="1" w:styleId="Ttulo5Car">
    <w:name w:val="Título 5 Car"/>
    <w:basedOn w:val="Fuentedeprrafopredeter"/>
    <w:link w:val="Ttulo5"/>
    <w:uiPriority w:val="9"/>
    <w:semiHidden/>
    <w:rsid w:val="00203AA9"/>
    <w:rPr>
      <w:rFonts w:asciiTheme="majorHAnsi" w:eastAsiaTheme="majorEastAsia" w:hAnsiTheme="majorHAnsi" w:cstheme="majorBidi"/>
      <w:color w:val="243F60" w:themeColor="accent1" w:themeShade="7F"/>
      <w:sz w:val="22"/>
      <w:szCs w:val="22"/>
    </w:rPr>
  </w:style>
  <w:style w:type="character" w:styleId="Refdecomentario">
    <w:name w:val="annotation reference"/>
    <w:basedOn w:val="Fuentedeprrafopredeter"/>
    <w:uiPriority w:val="99"/>
    <w:semiHidden/>
    <w:unhideWhenUsed/>
    <w:rsid w:val="007260F6"/>
    <w:rPr>
      <w:sz w:val="16"/>
      <w:szCs w:val="16"/>
    </w:rPr>
  </w:style>
  <w:style w:type="paragraph" w:styleId="Textocomentario">
    <w:name w:val="annotation text"/>
    <w:basedOn w:val="Normal"/>
    <w:link w:val="TextocomentarioCar"/>
    <w:uiPriority w:val="99"/>
    <w:semiHidden/>
    <w:unhideWhenUsed/>
    <w:rsid w:val="007260F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260F6"/>
  </w:style>
  <w:style w:type="paragraph" w:styleId="Asuntodelcomentario">
    <w:name w:val="annotation subject"/>
    <w:basedOn w:val="Textocomentario"/>
    <w:next w:val="Textocomentario"/>
    <w:link w:val="AsuntodelcomentarioCar"/>
    <w:uiPriority w:val="99"/>
    <w:semiHidden/>
    <w:unhideWhenUsed/>
    <w:rsid w:val="007260F6"/>
    <w:rPr>
      <w:b/>
      <w:bCs/>
    </w:rPr>
  </w:style>
  <w:style w:type="character" w:customStyle="1" w:styleId="AsuntodelcomentarioCar">
    <w:name w:val="Asunto del comentario Car"/>
    <w:basedOn w:val="TextocomentarioCar"/>
    <w:link w:val="Asuntodelcomentario"/>
    <w:uiPriority w:val="99"/>
    <w:semiHidden/>
    <w:rsid w:val="007260F6"/>
    <w:rPr>
      <w:b/>
      <w:bCs/>
    </w:rPr>
  </w:style>
  <w:style w:type="table" w:customStyle="1" w:styleId="a">
    <w:basedOn w:val="TableNormal"/>
    <w:tblPr>
      <w:tblStyleRowBandSize w:val="1"/>
      <w:tblStyleColBandSize w:val="1"/>
      <w:tblCellMar>
        <w:top w:w="0" w:type="dxa"/>
        <w:left w:w="115" w:type="dxa"/>
        <w:bottom w:w="0" w:type="dxa"/>
        <w:right w:w="115" w:type="dxa"/>
      </w:tblCellMar>
    </w:tblPr>
  </w:style>
  <w:style w:type="table" w:customStyle="1" w:styleId="a0">
    <w:basedOn w:val="TableNormal"/>
    <w:tblPr>
      <w:tblStyleRowBandSize w:val="1"/>
      <w:tblStyleColBandSize w:val="1"/>
      <w:tblCellMar>
        <w:top w:w="0" w:type="dxa"/>
        <w:left w:w="115" w:type="dxa"/>
        <w:bottom w:w="0" w:type="dxa"/>
        <w:right w:w="115" w:type="dxa"/>
      </w:tblCellMar>
    </w:tblPr>
  </w:style>
  <w:style w:type="table" w:customStyle="1" w:styleId="a1">
    <w:basedOn w:val="TableNormal"/>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9+KZ65g4uD1/kvOevXi1vf5cI+Q==">AMUW2mVmtH7ClFdUfezb7qj17TXed8ersoitJCXhjJc4Pm1ompb7Se4LjnJ+znGTtIM/O4uQBia/eUMA2wyPfoPYrZRqpSNfMuL5uc6lLNkW8bNGlplBACXIotTn7MXhjlF2xg2ZCRO6</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2345</Words>
  <Characters>12903</Characters>
  <Application>Microsoft Office Word</Application>
  <DocSecurity>0</DocSecurity>
  <Lines>107</Lines>
  <Paragraphs>30</Paragraphs>
  <ScaleCrop>false</ScaleCrop>
  <Company/>
  <LinksUpToDate>false</LinksUpToDate>
  <CharactersWithSpaces>15218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PIRH</dc:creator>
  <cp:lastModifiedBy>Rolo Salas Urrutia</cp:lastModifiedBy>
  <cp:revision>2</cp:revision>
  <dcterms:created xsi:type="dcterms:W3CDTF">2021-04-05T22:58:00Z</dcterms:created>
  <dcterms:modified xsi:type="dcterms:W3CDTF">2021-04-05T22:58:00Z</dcterms:modified>
</cp:coreProperties>
</file>